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5D603" w14:textId="521B458B" w:rsidR="005D142C" w:rsidRPr="004449E1" w:rsidRDefault="005D142C" w:rsidP="00EB043A">
      <w:pPr>
        <w:jc w:val="both"/>
        <w:rPr>
          <w:rFonts w:ascii="Times New Roman" w:hAnsi="Times New Roman" w:cs="Times New Roman"/>
          <w:b/>
          <w:bCs/>
        </w:rPr>
      </w:pPr>
      <w:r w:rsidRPr="004449E1">
        <w:rPr>
          <w:rFonts w:ascii="Times New Roman" w:hAnsi="Times New Roman" w:cs="Times New Roman"/>
          <w:b/>
          <w:bCs/>
        </w:rPr>
        <w:t>Skrócona informacja o leku</w:t>
      </w:r>
    </w:p>
    <w:p w14:paraId="7B47D18B" w14:textId="1D0C2AEE" w:rsidR="005D142C" w:rsidRPr="004449E1" w:rsidRDefault="005D142C" w:rsidP="004449E1">
      <w:r w:rsidRPr="004449E1">
        <w:rPr>
          <w:rFonts w:ascii="Times New Roman" w:hAnsi="Times New Roman" w:cs="Times New Roman"/>
          <w:b/>
          <w:bCs/>
        </w:rPr>
        <w:t xml:space="preserve">Nazwa produktu leczniczego: </w:t>
      </w:r>
      <w:r w:rsidRPr="004449E1">
        <w:rPr>
          <w:rFonts w:ascii="Times New Roman" w:hAnsi="Times New Roman" w:cs="Times New Roman"/>
        </w:rPr>
        <w:t xml:space="preserve">Entyvio 300 mg proszek do sporządzania koncentratu roztworu do infuzji. </w:t>
      </w:r>
      <w:r w:rsidR="00AB74F7" w:rsidRPr="004449E1">
        <w:rPr>
          <w:rFonts w:ascii="Times New Roman" w:hAnsi="Times New Roman" w:cs="Times New Roman"/>
        </w:rPr>
        <w:t>[</w:t>
      </w:r>
      <w:r w:rsidRPr="004449E1">
        <w:rPr>
          <w:rFonts w:ascii="Times New Roman" w:hAnsi="Times New Roman" w:cs="Times New Roman"/>
        </w:rPr>
        <w:t>Entyvio 108 mg roztwór do wstrzykiwań we wstrzykiwaczu półautomatycznym napełnionym.</w:t>
      </w:r>
      <w:r w:rsidR="00AB74F7" w:rsidRPr="004449E1">
        <w:rPr>
          <w:rFonts w:ascii="Times New Roman" w:hAnsi="Times New Roman" w:cs="Times New Roman"/>
        </w:rPr>
        <w:t>]</w:t>
      </w:r>
      <w:r w:rsidR="004449E1" w:rsidRPr="004449E1">
        <w:rPr>
          <w:rFonts w:ascii="Times New Roman" w:hAnsi="Times New Roman" w:cs="Times New Roman"/>
        </w:rPr>
        <w:t xml:space="preserve">* </w:t>
      </w:r>
      <w:r w:rsidR="00AB74F7" w:rsidRPr="004449E1">
        <w:rPr>
          <w:rFonts w:ascii="Times New Roman" w:hAnsi="Times New Roman" w:cs="Times New Roman"/>
          <w:b/>
          <w:bCs/>
        </w:rPr>
        <w:t>Skład jakościowy i ilościowy:</w:t>
      </w:r>
      <w:r w:rsidR="00AB74F7" w:rsidRPr="004449E1">
        <w:rPr>
          <w:rFonts w:ascii="Times New Roman" w:hAnsi="Times New Roman" w:cs="Times New Roman"/>
        </w:rPr>
        <w:t xml:space="preserve"> Każda fiolka zawiera 300 mg wedolizumabu. Po rozpuszczeniu każdy ml roztworu zawiera 60 mg wedolizumabu. [</w:t>
      </w:r>
      <w:r w:rsidR="00AB74F7" w:rsidRPr="004449E1">
        <w:rPr>
          <w:rFonts w:ascii="Times New Roman" w:hAnsi="Times New Roman" w:cs="Times New Roman"/>
          <w:u w:val="single"/>
        </w:rPr>
        <w:t>Entyvio 108 mg roztwór do wstrzykiwań we wstrzykiwaczu półautomatycznym napełnionym</w:t>
      </w:r>
      <w:r w:rsidR="00AB74F7" w:rsidRPr="004449E1">
        <w:rPr>
          <w:rFonts w:ascii="Times New Roman" w:hAnsi="Times New Roman" w:cs="Times New Roman"/>
        </w:rPr>
        <w:t xml:space="preserve"> Każdy wstrzykiwacz półautomatyczny napełniony zawiera 108 mg wedolizumabu w 0,68 ml.]</w:t>
      </w:r>
      <w:r w:rsidR="004449E1" w:rsidRPr="004449E1">
        <w:rPr>
          <w:rFonts w:ascii="Times New Roman" w:hAnsi="Times New Roman" w:cs="Times New Roman"/>
        </w:rPr>
        <w:t>*</w:t>
      </w:r>
      <w:r w:rsidR="00AB74F7" w:rsidRPr="004449E1">
        <w:rPr>
          <w:rFonts w:ascii="Times New Roman" w:hAnsi="Times New Roman" w:cs="Times New Roman"/>
        </w:rPr>
        <w:t xml:space="preserve"> Wedolizumab jest humanizowanym monoklonalnym przeciwciałem IgG1 wytwarzanym w komórkach jajnika chomika chińskiego (ang. Chinese hamster ovary, CHO) z zastosowaniem technologii rekombinacji DNA. Pełny wykaz substancji pomocniczych, patrz punkt 6.1. Charakterystyki Produktu Leczniczego (ChPL). </w:t>
      </w:r>
      <w:r w:rsidR="00AB74F7" w:rsidRPr="004449E1">
        <w:rPr>
          <w:rFonts w:ascii="Times New Roman" w:hAnsi="Times New Roman" w:cs="Times New Roman"/>
          <w:b/>
          <w:bCs/>
        </w:rPr>
        <w:t>Postać farmaceutyczna:</w:t>
      </w:r>
      <w:r w:rsidR="00AB74F7" w:rsidRPr="004449E1">
        <w:rPr>
          <w:rFonts w:ascii="Times New Roman" w:hAnsi="Times New Roman" w:cs="Times New Roman"/>
        </w:rPr>
        <w:t xml:space="preserve"> Proszek do sporządzania koncentratu roztworu do infuzji. Biały lub białawy liofilizowany krążek lub proszek. [Roztwór do wstrzykiwań (płyn do wstrzykiwań). Roztwór bezbarwny do jasnożółtego.]</w:t>
      </w:r>
      <w:r w:rsidR="004449E1" w:rsidRPr="004449E1">
        <w:rPr>
          <w:rFonts w:ascii="Times New Roman" w:hAnsi="Times New Roman" w:cs="Times New Roman"/>
        </w:rPr>
        <w:t>*</w:t>
      </w:r>
      <w:r w:rsidR="00AB74F7" w:rsidRPr="004449E1">
        <w:rPr>
          <w:rFonts w:ascii="Times New Roman" w:hAnsi="Times New Roman" w:cs="Times New Roman"/>
        </w:rPr>
        <w:t xml:space="preserve"> </w:t>
      </w:r>
      <w:r w:rsidR="00AB74F7" w:rsidRPr="004449E1">
        <w:rPr>
          <w:rFonts w:ascii="Times New Roman" w:hAnsi="Times New Roman" w:cs="Times New Roman"/>
          <w:b/>
          <w:bCs/>
        </w:rPr>
        <w:t>Wskazania do stosowania:</w:t>
      </w:r>
      <w:r w:rsidR="00AB74F7" w:rsidRPr="004449E1">
        <w:rPr>
          <w:rFonts w:ascii="Times New Roman" w:hAnsi="Times New Roman" w:cs="Times New Roman"/>
        </w:rPr>
        <w:t xml:space="preserve"> </w:t>
      </w:r>
      <w:r w:rsidR="005E3243" w:rsidRPr="004449E1">
        <w:rPr>
          <w:rFonts w:ascii="Times New Roman" w:hAnsi="Times New Roman" w:cs="Times New Roman"/>
          <w:u w:val="single"/>
        </w:rPr>
        <w:t>Wrzodziejące zapalenie jelita grubego</w:t>
      </w:r>
      <w:r w:rsidR="005E3243" w:rsidRPr="004449E1">
        <w:rPr>
          <w:rFonts w:ascii="Times New Roman" w:hAnsi="Times New Roman" w:cs="Times New Roman"/>
        </w:rPr>
        <w:t xml:space="preserve"> Produkt Entyvio jest wskazany do stosowania w leczeniu dorosłych pacjentów z czynnym wrzodziejącym zapaleniem jelita grubego o nasileniu umiarkowanym lub ciężkim, którzy nie reagują wystarczająco, przestali reagować na leczenie lub nie tolerują leczenia konwencjonalnego lub antagonistami czynnika martwicy nowotworów-alfa (TNFα). </w:t>
      </w:r>
      <w:r w:rsidR="005E3243" w:rsidRPr="004449E1">
        <w:rPr>
          <w:rFonts w:ascii="Times New Roman" w:hAnsi="Times New Roman" w:cs="Times New Roman"/>
          <w:u w:val="single"/>
        </w:rPr>
        <w:t>Choroba Leśniowskiego-Crohna</w:t>
      </w:r>
      <w:r w:rsidR="005E3243" w:rsidRPr="004449E1">
        <w:rPr>
          <w:rFonts w:ascii="Times New Roman" w:hAnsi="Times New Roman" w:cs="Times New Roman"/>
        </w:rPr>
        <w:t xml:space="preserve"> Produkt Entyvio jest wskazany do stosowania w leczeniu dorosłych pacjentów z chorobą Leśniowskiego-Crohna o nasileniu umiarkowanym lub ciężkim, którzy nie reagują wystarczająco, przestali reagować na leczenie lub nie tolerują leczenia konwencjonalnego lub antagonistami czynnika martwicy nowotworów-alfa (TNFα). </w:t>
      </w:r>
      <w:r w:rsidR="005E3243" w:rsidRPr="004449E1">
        <w:rPr>
          <w:rFonts w:ascii="Times New Roman" w:hAnsi="Times New Roman" w:cs="Times New Roman"/>
          <w:b/>
          <w:bCs/>
        </w:rPr>
        <w:t>Dawkowanie i sposób podawania:</w:t>
      </w:r>
      <w:r w:rsidR="005E3243" w:rsidRPr="004449E1">
        <w:rPr>
          <w:rFonts w:ascii="Times New Roman" w:hAnsi="Times New Roman" w:cs="Times New Roman"/>
        </w:rPr>
        <w:t xml:space="preserve"> Leczenie powinno być rozpoczęte i nadzorowane przez lekarza z doświadczeniem w rozpoznawaniu i leczeniu wrzodziejącego zapalenia jelita grubego lub choroby Leśniowskiego-Crohna (patrz punkt 4.4 ChPL). Pacjentowi należy przekazać ulotkę informacyjną dotyczącą leku oraz Kartę Ostrzeżeń dla Pacjenta</w:t>
      </w:r>
      <w:r w:rsidR="00A40AFC" w:rsidRPr="004449E1">
        <w:rPr>
          <w:rFonts w:ascii="Times New Roman" w:hAnsi="Times New Roman" w:cs="Times New Roman"/>
        </w:rPr>
        <w:t>. [Pacjentowi należy przekazać ulotkę informacyjną dotyczącą leku.]</w:t>
      </w:r>
      <w:r w:rsidR="004449E1" w:rsidRPr="004449E1">
        <w:rPr>
          <w:rFonts w:ascii="Times New Roman" w:hAnsi="Times New Roman" w:cs="Times New Roman"/>
        </w:rPr>
        <w:t xml:space="preserve">* </w:t>
      </w:r>
      <w:r w:rsidR="005E3243" w:rsidRPr="004449E1">
        <w:rPr>
          <w:rFonts w:ascii="Times New Roman" w:hAnsi="Times New Roman" w:cs="Times New Roman"/>
        </w:rPr>
        <w:t xml:space="preserve"> </w:t>
      </w:r>
      <w:r w:rsidR="003B5CD9" w:rsidRPr="004449E1">
        <w:rPr>
          <w:rFonts w:ascii="Times New Roman" w:hAnsi="Times New Roman" w:cs="Times New Roman"/>
          <w:u w:val="single"/>
        </w:rPr>
        <w:t>Dawkowanie</w:t>
      </w:r>
      <w:r w:rsidR="003B5CD9" w:rsidRPr="004449E1">
        <w:rPr>
          <w:rFonts w:ascii="Times New Roman" w:hAnsi="Times New Roman" w:cs="Times New Roman"/>
        </w:rPr>
        <w:t xml:space="preserve"> </w:t>
      </w:r>
      <w:r w:rsidR="003B5CD9" w:rsidRPr="004449E1">
        <w:rPr>
          <w:rFonts w:ascii="Times New Roman" w:hAnsi="Times New Roman" w:cs="Times New Roman"/>
          <w:i/>
          <w:iCs/>
          <w:u w:val="single"/>
        </w:rPr>
        <w:t>Wrzodziejące zapalenie jelita grubego</w:t>
      </w:r>
      <w:r w:rsidR="003B5CD9" w:rsidRPr="004449E1">
        <w:rPr>
          <w:rFonts w:ascii="Times New Roman" w:hAnsi="Times New Roman" w:cs="Times New Roman"/>
        </w:rPr>
        <w:t xml:space="preserve"> Zalecany schemat dawkowania wedolizumabu podawanego dożylnie obejmuje dawkę 300 mg podawaną w infuzji dożylnej w tygodniu 0, tygodniu 2 i tygodniu 6, a następnie co 8 tygodni. W razie braku widocznej korzyści terapeutycznej u pacjentów z wrzodziejącym zapaleniem jelita grubego w ciągu 10 tygodni należy przerwać leczenie (patrz punkt 5.1 ChPL). U pacjentów, u których doszło do zmniejszenia odpowiedzi na leczenie, korzystne może być zwiększenie częstości dawkowania do 300 mg wedolizumabu podawanego dożylnie co 4 tygodnie. U pacjentów, którzy zareagowali na leczenie wedolizumabem można zmniejszyć dawkę i (lub) odstawić kortykosteroidy zgodnie z przyjętym standardem opieki. </w:t>
      </w:r>
      <w:r w:rsidR="003B5CD9" w:rsidRPr="004449E1">
        <w:rPr>
          <w:rFonts w:ascii="Times New Roman" w:hAnsi="Times New Roman" w:cs="Times New Roman"/>
          <w:i/>
          <w:iCs/>
        </w:rPr>
        <w:t>Wznowienie leczenia</w:t>
      </w:r>
      <w:r w:rsidR="003B5CD9" w:rsidRPr="004449E1">
        <w:rPr>
          <w:rFonts w:ascii="Times New Roman" w:hAnsi="Times New Roman" w:cs="Times New Roman"/>
        </w:rPr>
        <w:t xml:space="preserve"> Jeśli leczenie wedolizumabem zostało przerwane a istnieje konieczność wznowienia leczenia wedolizumabem podawanym dożylnie, można rozważyć podawanie produktu co 4 tygodnie (patrz punkt 5.1 ChPL). Okres przerwy w leczeniu w badaniach klinicznych wynosił do 1 roku. Podczas wznowienia leczenia ponownie uzyskano skuteczność wedolizumabu bez dowodów zwiększonej częstości i nasilenia działań niepożądanych lub reakcji związanych z infuzją (patrz punkt 4.8 ChPL). </w:t>
      </w:r>
      <w:r w:rsidR="003B5CD9" w:rsidRPr="004449E1">
        <w:rPr>
          <w:rFonts w:ascii="Times New Roman" w:hAnsi="Times New Roman" w:cs="Times New Roman"/>
          <w:i/>
          <w:iCs/>
          <w:u w:val="single"/>
        </w:rPr>
        <w:t>Choroba Leśniowskiego-Crohna</w:t>
      </w:r>
      <w:r w:rsidR="003B5CD9" w:rsidRPr="004449E1">
        <w:rPr>
          <w:rFonts w:ascii="Times New Roman" w:hAnsi="Times New Roman" w:cs="Times New Roman"/>
        </w:rPr>
        <w:t xml:space="preserve"> Zalecany schemat dawkowania obejmuje 300 mg wedolizumabu podawanego w infuzji dożylnej w tygodniu 0, 2 i 6, a następnie co 8 tygodni. W przypadku pacjentów z chorobą Leśniowskiego-Crohna bez widocznej odpowiedzi na leczenie korzystne może być podanie dożylnie wedolizumabu w tygodniu 10 (patrz punkt 4.4 ChPL). U pacjentów reagujących na leczenie należy kontynuować podawanie produktu co 8 tygodni, od tygodnia 14. W razie braku widocznej korzyści terapeutycznej u pacjenta z chorobą Leśniowskiego-Crohna w ciągu 14 tygodni, należy przerwać leczenie (patrz punkt 5.1 ChPL). U części pacjentów, u których doszło do zmniejszenia odpowiedzi na leczenie, korzystne może być zwiększenie częstości dawkowania do 300 mg wedolizumabu podawanego dożylnie co 4 tygodnie. U pacjentów, którzy zareagowali na leczenie wedolizumabem można zmniejszyć dawkę i (lub) odstawić kortykosteroidy zgodnie z przyjętym standardem opieki. </w:t>
      </w:r>
      <w:r w:rsidR="003B5CD9" w:rsidRPr="004449E1">
        <w:rPr>
          <w:rFonts w:ascii="Times New Roman" w:hAnsi="Times New Roman" w:cs="Times New Roman"/>
          <w:i/>
          <w:iCs/>
        </w:rPr>
        <w:t>Wznowienie leczenia</w:t>
      </w:r>
      <w:r w:rsidR="003B5CD9" w:rsidRPr="004449E1">
        <w:rPr>
          <w:rFonts w:ascii="Times New Roman" w:hAnsi="Times New Roman" w:cs="Times New Roman"/>
        </w:rPr>
        <w:t xml:space="preserve"> W razie przerwania leczenia i konieczności wznowienia leczenia produktem Entyvio można rozważyć podawanie produktu co 4 tygodnie (patrz punkt 5.1 ChPL). Okres przerwy w leczeniu w badaniach klinicznych wynosił do 1 </w:t>
      </w:r>
      <w:r w:rsidR="003B5CD9" w:rsidRPr="004449E1">
        <w:rPr>
          <w:rFonts w:ascii="Times New Roman" w:hAnsi="Times New Roman" w:cs="Times New Roman"/>
        </w:rPr>
        <w:lastRenderedPageBreak/>
        <w:t>roku. Podczas wznowienia leczenia ponownie uzyskano skuteczność wedolizumabu, bez dowodów zwiększonej częstości i nasilenia działań niepożądanych lub reakcji związanych z infuzją (patrz punkt 4.8 ChPL). [</w:t>
      </w:r>
      <w:r w:rsidR="003B5CD9" w:rsidRPr="004449E1">
        <w:rPr>
          <w:rFonts w:ascii="Times New Roman" w:hAnsi="Times New Roman" w:cs="Times New Roman"/>
          <w:i/>
          <w:iCs/>
          <w:u w:val="single"/>
        </w:rPr>
        <w:t>Wrzodziejące zapalenie jelita grubego i choroba Leśniowskiego-Crohna</w:t>
      </w:r>
      <w:r w:rsidR="003B5CD9" w:rsidRPr="004449E1">
        <w:rPr>
          <w:rFonts w:ascii="Times New Roman" w:hAnsi="Times New Roman" w:cs="Times New Roman"/>
        </w:rPr>
        <w:t xml:space="preserve"> Zalecany schemat dawkowania wedolizumabu podawanego podskórnie jako leczenia podtrzymującego, po co najmniej 2 infuzjach dożylnych, to 108 mg podawane we wstrzyknięciu podskórnym co 2 tygodnie. Pierwszą dawkę podskórną należy podać zamiast następnej zaplanowanej dawki dożylnej, a następnie podawać co 2 tygodnie. Schemat dawkowania dożylnego, patrz punkt 4.2 ChPL produktu leczniczego Entyvio 300 mg proszek do sporządzania koncentratu roztworu do infuzji. Brak wystarczających danych do ustalenia, czy pacjenci, u których występuje zmniejszenie odpowiedzi na leczenie podtrzymujące wedolizumabem, odnieśliby korzyść ze zwiększenia częstości dawkowania. Brak danych dotyczących zmiany leczenia pacjentów z wedolizumabu podawanego podskórnie na wedolizumab podawany dożylnie w okresie leczenia podtrzymującego. U pacjentów, którzy zareagowali na leczenie wedolizumabem, można zmniejszyć dawkę i (lub) odstawić kortykosteroidy zgodnie z przyjętym standardem opieki. Wznowienie leczenia i pominięte dawki Jeśli leczenie wedolizumabem podawanym podskórnie zostanie przerwane lub pacjent pominął przyjęcie zaplanowanej dawki (dawek) wedolizumabu, należy doradzić pacjentowi jak najszybsze wstrzyknięcie kolejnej dawki podskórnej, a następnie przyjmowanie leku co 2 tygodnie. Okres przerwy w leczeniu w badaniach klinicznych wynosił do 46 tygodni. Podczas wznowienia leczenia z podawaniem wedolizumabu podskórnie uzyskano skuteczność bez dowodów zwiększonej częstości i nasilenia działań niepożądanych lub reakcji związanych z iniekcją w miejscu podania podskórnego (patrz punkt 4.8).]</w:t>
      </w:r>
      <w:r w:rsidR="004449E1" w:rsidRPr="004449E1">
        <w:rPr>
          <w:rFonts w:ascii="Times New Roman" w:hAnsi="Times New Roman" w:cs="Times New Roman"/>
        </w:rPr>
        <w:t>*</w:t>
      </w:r>
      <w:r w:rsidR="003B5CD9" w:rsidRPr="004449E1">
        <w:rPr>
          <w:rFonts w:ascii="Times New Roman" w:hAnsi="Times New Roman" w:cs="Times New Roman"/>
        </w:rPr>
        <w:t xml:space="preserve"> Szczególne populacje </w:t>
      </w:r>
      <w:r w:rsidR="003B5CD9" w:rsidRPr="004449E1">
        <w:rPr>
          <w:rFonts w:ascii="Times New Roman" w:hAnsi="Times New Roman" w:cs="Times New Roman"/>
          <w:i/>
          <w:iCs/>
          <w:u w:val="single"/>
        </w:rPr>
        <w:t>Pacjenci w podeszłym wieku</w:t>
      </w:r>
      <w:r w:rsidR="003B5CD9" w:rsidRPr="004449E1">
        <w:rPr>
          <w:rFonts w:ascii="Times New Roman" w:hAnsi="Times New Roman" w:cs="Times New Roman"/>
        </w:rPr>
        <w:t xml:space="preserve"> Nie ma konieczności dostosowywania dawki u pacjentów w podeszłym wieku. Analizy farmakokinetyki populacyjnej nie wykazały zależności od wieku (patrz punkt 5.2 ChPL). </w:t>
      </w:r>
      <w:r w:rsidR="003B5CD9" w:rsidRPr="004449E1">
        <w:rPr>
          <w:rFonts w:ascii="Times New Roman" w:hAnsi="Times New Roman" w:cs="Times New Roman"/>
          <w:i/>
          <w:iCs/>
          <w:u w:val="single"/>
        </w:rPr>
        <w:t>Pacjenci z zaburzeniami czynności nerek lub wątroby</w:t>
      </w:r>
      <w:r w:rsidR="003B5CD9" w:rsidRPr="004449E1">
        <w:rPr>
          <w:rFonts w:ascii="Times New Roman" w:hAnsi="Times New Roman" w:cs="Times New Roman"/>
        </w:rPr>
        <w:t xml:space="preserve"> Nie badano stosowania wedolizumabu w tych populacjach pacjentów. Nie ma zaleceń dotyczących dawkowania. </w:t>
      </w:r>
      <w:r w:rsidR="003B5CD9" w:rsidRPr="004449E1">
        <w:rPr>
          <w:rFonts w:ascii="Times New Roman" w:hAnsi="Times New Roman" w:cs="Times New Roman"/>
          <w:i/>
          <w:iCs/>
          <w:u w:val="single"/>
        </w:rPr>
        <w:t>Dzieci i młodzież</w:t>
      </w:r>
      <w:r w:rsidR="003B5CD9" w:rsidRPr="004449E1">
        <w:rPr>
          <w:rFonts w:ascii="Times New Roman" w:hAnsi="Times New Roman" w:cs="Times New Roman"/>
        </w:rPr>
        <w:t xml:space="preserve"> Nie określono dotychczas bezpieczeństwa stosowania ani skuteczności wedolizumabu u dzieci i młodzieży w wieku od 0 do 17 lat. Dane nie są dostępne. </w:t>
      </w:r>
      <w:r w:rsidR="003B5CD9" w:rsidRPr="004449E1">
        <w:rPr>
          <w:rFonts w:ascii="Times New Roman" w:hAnsi="Times New Roman" w:cs="Times New Roman"/>
          <w:u w:val="single"/>
        </w:rPr>
        <w:t>Sposób podawania</w:t>
      </w:r>
      <w:r w:rsidR="003B5CD9" w:rsidRPr="004449E1">
        <w:rPr>
          <w:rFonts w:ascii="Times New Roman" w:hAnsi="Times New Roman" w:cs="Times New Roman"/>
        </w:rPr>
        <w:t xml:space="preserve"> Produkt Entyvio 300 mg proszek do sporządzania koncentratu roztworu do infuzji przeznaczony jest wyłącznie do podawania dożylnego. Przed podaniem dożylnym produkt należy rozpuścić, a następnie rozcieńczyć. Produkt Entyvio 300 mg proszek do sporządzania koncentratu roztworu do infuzji podaje się w infuzji dożylnej trwającej 30 minut. Pacjentów należy obserwować w trakcie i po podaniu infuzji (patrz punkt 4.4 ChPL). Zalecenia dotyczące rozpuszczania i rozcieńczania tego produktu leczniczego przed jego podaniem opisano w punkcie 6.6 ChPL.</w:t>
      </w:r>
      <w:r w:rsidR="00A40AFC" w:rsidRPr="004449E1">
        <w:rPr>
          <w:rFonts w:ascii="Times New Roman" w:hAnsi="Times New Roman" w:cs="Times New Roman"/>
        </w:rPr>
        <w:t xml:space="preserve"> [Entyvio roztwór do wstrzykiwań (w ampułko-strzykawce lub wstrzykiwaczu półautomatycznym napełnionym) jest przeznaczony wyłącznie do podawania podskórnego. Jeśli lekarz uzna to za właściwe, po odpowiednim przeszkoleniu w zakresie prawidłowej techniki podawania podskórnego, pacjent lub jego opiekun może podawać wedolizumab podskórnie samodzielnie. W odpowiedniej ulotce dla pacjenta podano wyczerpujące instrukcje dotyczące podawania leku przy użyciu ampułko-strzykawki lub półautomatycznego wstrzykiwacza napełnionego. W celu uzyskania dodatkowych instrukcji dotyczących przygotowania i specjalnych środków ostrożności dotyczących obchodzenia się z produktem leczniczym patrz punkt 6.6.]</w:t>
      </w:r>
      <w:r w:rsidR="004449E1" w:rsidRPr="004449E1">
        <w:rPr>
          <w:rFonts w:ascii="Times New Roman" w:hAnsi="Times New Roman" w:cs="Times New Roman"/>
        </w:rPr>
        <w:t xml:space="preserve">* </w:t>
      </w:r>
      <w:r w:rsidR="00A40AFC" w:rsidRPr="004449E1">
        <w:rPr>
          <w:rFonts w:ascii="Times New Roman" w:hAnsi="Times New Roman" w:cs="Times New Roman"/>
        </w:rPr>
        <w:t xml:space="preserve"> </w:t>
      </w:r>
      <w:r w:rsidR="00A40AFC" w:rsidRPr="004449E1">
        <w:rPr>
          <w:rFonts w:ascii="Times New Roman" w:hAnsi="Times New Roman" w:cs="Times New Roman"/>
          <w:b/>
          <w:bCs/>
        </w:rPr>
        <w:t>Przeciwwskazania</w:t>
      </w:r>
      <w:r w:rsidR="00A40AFC" w:rsidRPr="004449E1">
        <w:rPr>
          <w:rFonts w:ascii="Times New Roman" w:hAnsi="Times New Roman" w:cs="Times New Roman"/>
        </w:rPr>
        <w:t xml:space="preserve">: Nadwrażliwość na substancję czynną lub na którąkolwiek substancję pomocniczą wymienioną w punkcie 6.1 ChPL. Czynne ciężkie zakażenia, takie jak gruźlica (ang. TB) posocznica, cytomegalia, listerioza oraz zakażenia oportunistyczne, takie jak postępująca leukoencefalopatia wieloogniskowa (ang. Progressive Multifocal Leukoencephalopathy, PML) (patrz punkt 4.4 ChPL). </w:t>
      </w:r>
      <w:r w:rsidR="00A40AFC" w:rsidRPr="004449E1">
        <w:rPr>
          <w:rFonts w:ascii="Times New Roman" w:hAnsi="Times New Roman" w:cs="Times New Roman"/>
          <w:b/>
          <w:bCs/>
        </w:rPr>
        <w:t>Specjalne ostrzeżenia i środki ostrożności dotyczące stosowania:</w:t>
      </w:r>
      <w:r w:rsidR="00A40AFC" w:rsidRPr="004449E1">
        <w:rPr>
          <w:rFonts w:ascii="Times New Roman" w:hAnsi="Times New Roman" w:cs="Times New Roman"/>
        </w:rPr>
        <w:t xml:space="preserve"> W celu zapewnienia właściwej opieki w przypadku wystąpienia ostrych reakcji nadwrażliwości, włączając wstrząs anafilaktyczny, wedolizumab należy podawać dożylnie w placówkach ochrony zdrowia. W trakcie podawania wedolizumabu dożylnie należy zapewnić bezpośrednią możliwość odpowiedniego monitorowania pacjenta i postępowania medycznego. Podczas infuzji wszyscy pacjenci powinni być objęci ciągłą obserwacją. W przypadku pierwszych dwóch infuzji pacjentów należy także obserwować przez około 2 godziny po zakończeniu infuzji pod kątem podmiotowych i przedmiotowych objawów ostrej reakcji nadwrażliwości. Przy kolejnych infuzjach pacjentów należy obserwować przez około 1 godzinę po </w:t>
      </w:r>
      <w:r w:rsidR="00A40AFC" w:rsidRPr="004449E1">
        <w:rPr>
          <w:rFonts w:ascii="Times New Roman" w:hAnsi="Times New Roman" w:cs="Times New Roman"/>
        </w:rPr>
        <w:lastRenderedPageBreak/>
        <w:t>zakończeniu infuzji. [</w:t>
      </w:r>
      <w:r w:rsidR="00AF181F" w:rsidRPr="004449E1">
        <w:rPr>
          <w:rFonts w:ascii="Times New Roman" w:hAnsi="Times New Roman" w:cs="Times New Roman"/>
        </w:rPr>
        <w:t xml:space="preserve"> </w:t>
      </w:r>
      <w:r w:rsidR="00A40AFC" w:rsidRPr="004449E1">
        <w:rPr>
          <w:rFonts w:ascii="Times New Roman" w:hAnsi="Times New Roman" w:cs="Times New Roman"/>
        </w:rPr>
        <w:t xml:space="preserve">] </w:t>
      </w:r>
      <w:r w:rsidR="00A40AFC" w:rsidRPr="004449E1">
        <w:rPr>
          <w:rFonts w:ascii="Times New Roman" w:hAnsi="Times New Roman" w:cs="Times New Roman"/>
          <w:u w:val="single"/>
        </w:rPr>
        <w:t>Identyfikowalność</w:t>
      </w:r>
      <w:r w:rsidR="00A40AFC" w:rsidRPr="004449E1">
        <w:rPr>
          <w:rFonts w:ascii="Times New Roman" w:hAnsi="Times New Roman" w:cs="Times New Roman"/>
        </w:rPr>
        <w:t xml:space="preserve"> W celu poprawienia identyfikowalności biologicznych produktów leczniczych należy czytelnie zapisać nazwę i numer serii podawanego produktu. </w:t>
      </w:r>
      <w:r w:rsidR="00A40AFC" w:rsidRPr="004449E1">
        <w:rPr>
          <w:rFonts w:ascii="Times New Roman" w:hAnsi="Times New Roman" w:cs="Times New Roman"/>
          <w:u w:val="single"/>
        </w:rPr>
        <w:t>Reakcje związane z infuzją i reakcje nadwrażliwości</w:t>
      </w:r>
      <w:r w:rsidR="00A40AFC" w:rsidRPr="004449E1">
        <w:rPr>
          <w:rFonts w:ascii="Times New Roman" w:hAnsi="Times New Roman" w:cs="Times New Roman"/>
        </w:rPr>
        <w:t xml:space="preserve"> W badaniach klinicznych zgłaszano występowanie reakcji związanych z infuzją (ang. infusion-related reactions, IRR) i reakcji nadwrażliwości; większość tych reakcji miała nasilenie łagodne lub umiarkowane (patrz punkt 4.8 ChPL). W razie wystąpienia ciężkiej IRR, reakcji anafilaktycznej lub innej ciężkiej reakcji należy natychmiast przerwać podawanie produktu Entyvio i wdrożyć odpowiednie leczenie (np. adrenalinę i leki przeciwhistaminowe) (patrz punkt 4.3 ChPL). W razie wystąpienia łagodnej lub umiarkowanej IRR można zmniejszyć szybkość podawania lub wstrzymać infuzję i wdrożyć odpowiednie leczenie. Po ustąpieniu łagodnej lub umiarkowanej IRR można kontynuować infuzję. U pacjentów z łagodną lub umiarkowaną IRR na wedolizumab w wywiadzie, w celu zminimalizowania zagrożenia, można rozważyć zastosowanie premedykacji (np. lekiem przeciwhistaminowym, hydrokortyzonem i (lub) paracetamolem) przed kolejną infuzją (patrz punkt 4.8 ChPL). [</w:t>
      </w:r>
      <w:r w:rsidR="00A40AFC" w:rsidRPr="004449E1">
        <w:rPr>
          <w:rFonts w:ascii="Times New Roman" w:hAnsi="Times New Roman" w:cs="Times New Roman"/>
          <w:u w:val="single"/>
        </w:rPr>
        <w:t>Reakcje nadwrażliwości</w:t>
      </w:r>
      <w:r w:rsidR="00A40AFC" w:rsidRPr="004449E1">
        <w:rPr>
          <w:rFonts w:ascii="Times New Roman" w:hAnsi="Times New Roman" w:cs="Times New Roman"/>
        </w:rPr>
        <w:t xml:space="preserve"> W badaniach klinicznych zgłaszano występowanie reakcji nadwrażliwości; większość tych reakcji miała nasilenie łagodne lub umiarkowane (patrz punkt 4.8 ChPL). W razie reakcji anafilaktycznej lub innej ciężkiej reakcji należy natychmiast przerwać podawanie wedolizumabu i wdrożyć odpowiednie leczenie (patrz punkt 4.3 ChPL).]</w:t>
      </w:r>
      <w:r w:rsidR="004449E1" w:rsidRPr="004449E1">
        <w:rPr>
          <w:rFonts w:ascii="Times New Roman" w:hAnsi="Times New Roman" w:cs="Times New Roman"/>
        </w:rPr>
        <w:t xml:space="preserve">* </w:t>
      </w:r>
      <w:r w:rsidR="00F45400" w:rsidRPr="004449E1">
        <w:rPr>
          <w:rFonts w:ascii="Times New Roman" w:hAnsi="Times New Roman" w:cs="Times New Roman"/>
        </w:rPr>
        <w:t xml:space="preserve"> </w:t>
      </w:r>
      <w:r w:rsidR="00F45400" w:rsidRPr="004449E1">
        <w:rPr>
          <w:rFonts w:ascii="Times New Roman" w:hAnsi="Times New Roman" w:cs="Times New Roman"/>
          <w:u w:val="single"/>
        </w:rPr>
        <w:t>Zakażenia</w:t>
      </w:r>
      <w:r w:rsidR="00F45400" w:rsidRPr="004449E1">
        <w:rPr>
          <w:rFonts w:ascii="Times New Roman" w:hAnsi="Times New Roman" w:cs="Times New Roman"/>
        </w:rPr>
        <w:t xml:space="preserve"> Wedolizumab jest działającym selektywnie w obrębie jelit antagonistą integryny bez ogólnoustrojowego działania immunosupresyjnego (patrz punkt 5.1 ChPL). Należy mieć świadomość potencjalnego zwiększenia ryzyka zakażeń oportunistycznych lub zakażeń, dla których jelito stanowi barierę obronną (patrz punkt 4.8). Nie wolno rozpoczynać leczenia wedolizumabem u pacjentów z czynnym, ciężkim zakażeniem do czasu opanowania zakażenia; należy rozważyć wstrzymanie leczenia u pacjentów, u których dojdzie do ciężkiego zakażenia podczas długotrwałego leczenia wedolizumabem. Należy zachować ostrożność przy podejmowaniu decyzji o zastosowaniu wedolizumabu u pacjentów z opanowanym, przewlekłym ciężkim zakażeniem lub nawracającymi ciężkimi zakażeniami w wywiadzie. Przed, podczas i po zakończeniu leczenia pacjentów należy dokładnie obserwować, czy występują u nich zakażenia. Wedolizumab jest przeciwwskazany u pacjentów z czynną gruźlicą (patrz punkt 4.3 ChPL). Przed rozpoczęciem leczenia wedolizumabem pacjenci muszą przejść badanie przesiewowe wykluczające gruźlicę zgodnie z lokalnie przyjętą praktyką. W razie rozpoznania utajonej gruźlicy przed rozpoczęciem leczenia wedolizumabem należy wdrożyć odpowiednie leczenie przeciwgruźlicze zgodnie z miejscowymi wytycznymi. W przypadku pacjentów, u których rozpoznano gruźlicę podczas leczenia wedolizumabem należy przerwać leczenie wedolizumabem do czasu ustąpienia zakażenia gruźliczego. Niektórzy antagoniści integryny i niektóre ogólnoustrojowe środki immunosupresyjne związane są z występowaniem postępującej leukoencefalopatii wieloogniskowej (ang. PML, progressive multifocal leukoencephalopathy), rzadkiego i często prowadzącego do zgonu zakażenia oportunistycznego wywoływanego przez wirusa Johna Cunninghama (ang. </w:t>
      </w:r>
      <w:r w:rsidR="00F45400" w:rsidRPr="004449E1">
        <w:rPr>
          <w:rFonts w:ascii="Times New Roman" w:hAnsi="Times New Roman" w:cs="Times New Roman"/>
          <w:i/>
          <w:iCs/>
        </w:rPr>
        <w:t>JC virus</w:t>
      </w:r>
      <w:r w:rsidR="00F45400" w:rsidRPr="004449E1">
        <w:rPr>
          <w:rFonts w:ascii="Times New Roman" w:hAnsi="Times New Roman" w:cs="Times New Roman"/>
        </w:rPr>
        <w:t xml:space="preserve">). Wedolizumab, wiążąc się z integryną α4β7 występującą na powierzchni limfocytów związanych z jelitem wywiera działanie immunosupresyjne specyficzne dla jelita. Nie zaobserwowano ogólnoustrojowego działania immunosupresyjnego u zdrowych ochotników, jednakże działanie produktu na ogólnoustrojową czynność układu odpornościowego u pacjentów z chorobą zapalną jelit jest nieznane. Personel medyczny powinien obserwować pacjentów leczonych wedolizumabem pod kątem pojawienia się nowych lub nasilenia przedmiotowych i podmiotowych objawów neurologicznych określonych w materiałach informacyjnych i rozważyć konsultację neurologiczną w razie ich wystąpienia. Pacjent ma otrzymać Kartę Ostrzeżeń dla Pacjenta (patrz punkt 4.2 ChPL) (dotyczy </w:t>
      </w:r>
      <w:r w:rsidR="00165FA4" w:rsidRPr="004449E1">
        <w:rPr>
          <w:rFonts w:ascii="Times New Roman" w:hAnsi="Times New Roman" w:cs="Times New Roman"/>
        </w:rPr>
        <w:t>jedynie</w:t>
      </w:r>
      <w:r w:rsidR="00F45400" w:rsidRPr="004449E1">
        <w:rPr>
          <w:rFonts w:ascii="Times New Roman" w:hAnsi="Times New Roman" w:cs="Times New Roman"/>
        </w:rPr>
        <w:t xml:space="preserve"> postaci dożylnej). W razie podejrzenia PML należy wstrzymać leczenie wedolizumabem, a w razie jego potwierdzenia należy zaprzestać leczenia.</w:t>
      </w:r>
      <w:r w:rsidR="00CA7EEC" w:rsidRPr="004449E1">
        <w:rPr>
          <w:rFonts w:ascii="Times New Roman" w:hAnsi="Times New Roman" w:cs="Times New Roman"/>
        </w:rPr>
        <w:t xml:space="preserve"> </w:t>
      </w:r>
      <w:r w:rsidR="00CA7EEC" w:rsidRPr="004449E1">
        <w:rPr>
          <w:rFonts w:ascii="Times New Roman" w:hAnsi="Times New Roman" w:cs="Times New Roman"/>
          <w:u w:val="single"/>
        </w:rPr>
        <w:t>Nowotwory złośliwe</w:t>
      </w:r>
      <w:r w:rsidR="00CA7EEC" w:rsidRPr="004449E1">
        <w:rPr>
          <w:rFonts w:ascii="Times New Roman" w:hAnsi="Times New Roman" w:cs="Times New Roman"/>
        </w:rPr>
        <w:t xml:space="preserve"> U pacjentów z wrzodziejącym zapaleniem jelita grubego lub chorobą Leśniowskiego-Crohna ryzyko wystąpienia nowotworu złośliwego jest zwiększone. Produkty o działaniu immunomodulującym mogą zwiększyć ryzyko wystąpienia nowotworu złośliwego (patrz punkt 4.8 ChPL). </w:t>
      </w:r>
      <w:r w:rsidR="00CA7EEC" w:rsidRPr="004449E1">
        <w:rPr>
          <w:rFonts w:ascii="Times New Roman" w:hAnsi="Times New Roman" w:cs="Times New Roman"/>
          <w:u w:val="single"/>
        </w:rPr>
        <w:t>Wcześniejsze i jednoczesne stosowanie produktów biologicznych</w:t>
      </w:r>
      <w:r w:rsidR="00CA7EEC" w:rsidRPr="004449E1">
        <w:rPr>
          <w:rFonts w:ascii="Times New Roman" w:hAnsi="Times New Roman" w:cs="Times New Roman"/>
        </w:rPr>
        <w:t xml:space="preserve"> Nie ma danych z badań klinicznych obejmujących stosowanie wedolizumabu u pacjentów leczonych wcześniej natalizumabem lub rituksymabem. Należy zachować ostrożność przy rozważaniu stosowania </w:t>
      </w:r>
      <w:r w:rsidR="00CA7EEC" w:rsidRPr="004449E1">
        <w:rPr>
          <w:rFonts w:ascii="Times New Roman" w:hAnsi="Times New Roman" w:cs="Times New Roman"/>
        </w:rPr>
        <w:lastRenderedPageBreak/>
        <w:t xml:space="preserve">wedolizumabu u takich pacjentów. Pacjenci z wcześniejszą ekspozycją na natalizumab powinni odczekać co najmniej 12 tygodni przed rozpoczęciem leczenia wedolizumabem, chyba że stan kliniczny pacjenta wymaga innego postępowania. Nie ma danych z badań klinicznych dotyczących jednoczesnego stosowania wedolizumabu z biologicznymi produktami immunosupresyjnymi. W związku z tym nie zaleca się stosowania wedolizumabu w tej grupie pacjentów. </w:t>
      </w:r>
      <w:r w:rsidR="00CA7EEC" w:rsidRPr="004449E1">
        <w:rPr>
          <w:rFonts w:ascii="Times New Roman" w:hAnsi="Times New Roman" w:cs="Times New Roman"/>
          <w:u w:val="single"/>
        </w:rPr>
        <w:t>Żywe i doustne szczepionki</w:t>
      </w:r>
      <w:r w:rsidR="00CA7EEC" w:rsidRPr="004449E1">
        <w:rPr>
          <w:rFonts w:ascii="Times New Roman" w:hAnsi="Times New Roman" w:cs="Times New Roman"/>
        </w:rPr>
        <w:t xml:space="preserve"> W badaniu kontrolowanym placebo z udziałem zdrowych ochotników pojedyncza dawka 750 mg wedolizumabu nie obniżyła wskaźników ochrony odpornościowej przeciwko wirusowi zapalenia wątroby typu B u osób, które otrzymały domięśniowo 3 dawki rekombinowanego antygenu powierzchniowego zapalenia wątroby typu B. Pacjenci po ekspozycji na wedolizumab mieli mniejsze wskaźniki serokonwersji po otrzymaniu doustnej szczepionki przeciwko cholerze zawierającej zabite bakterie. Wpływ na inne szczepionki doustne i donosowe jest nieznany. Zaleca się, aby przed rozpoczęciem leczenia wedolizumabem wszyscy pacjenci uzupełnili pominięte szczepienia zgodnie z aktualnymi lokalnymi zaleceniami dotyczącymi szczepień. Pacjenci leczeni wedolizumabem mogą w dalszym ciągu otrzymywać szczepionki inne niż żywe. Nie ma danych na temat wtórnego przeniesienia zakażenia przez żywe szczepionki u pacjentów otrzymujących wedolizumab. Podanie szczepionki przeciwko grypie powinno być wykonane przez wstrzyknięcie zgodnie z rutynową praktyką kliniczną. Inne żywe szczepionki mogą być podawane jednocześnie z wedolizumabem tylko wtedy, gdy korzyści będą zdecydowanie przeważać nad zagrożeniem.</w:t>
      </w:r>
      <w:r w:rsidR="008C09CF" w:rsidRPr="004449E1">
        <w:rPr>
          <w:rFonts w:ascii="Times New Roman" w:hAnsi="Times New Roman" w:cs="Times New Roman"/>
        </w:rPr>
        <w:t xml:space="preserve"> </w:t>
      </w:r>
      <w:r w:rsidR="008C09CF" w:rsidRPr="004449E1">
        <w:rPr>
          <w:rFonts w:ascii="Times New Roman" w:hAnsi="Times New Roman" w:cs="Times New Roman"/>
          <w:u w:val="single"/>
        </w:rPr>
        <w:t>Indukcja remisji choroby Leśniowskiego-Crohna</w:t>
      </w:r>
      <w:r w:rsidR="008C09CF" w:rsidRPr="004449E1">
        <w:rPr>
          <w:rFonts w:ascii="Times New Roman" w:hAnsi="Times New Roman" w:cs="Times New Roman"/>
        </w:rPr>
        <w:t xml:space="preserve"> U niektórych pacjentów indukcja remisji choroby Leśniowskiego-Crohna może trwać do 14 tygodni. Przyczyny tego zjawiska nie są do końca znane i są prawdopodobnie związane z mechanizmem działania produktu. Należy wziąć to pod uwagę, zwłaszcza u pacjentów ze zdiagnozowaną wcześniej ciężką, czynną postacią choroby Leśniowskiego-Crohna nieleczonych wcześniej antagonistami czynnika martwicy nowotworów-alfa (TNFα). (Patrz także punkt 5.1 ChPL). Analizy eksploracyjne podgrup pochodzące z badań klinicznych pacjentów z chorobą Leśniowskiego-Crohna wskazują, że wedolizumab podawany pacjentom nieotrzymującym jednocześnie kortykosteroidów może być mniej skuteczny w indukcji remisji choroby Leśniowskiego-Crohna w porównaniu z pacjentami otrzymującymi już wcześniej kortykosteroidy (niezależnie od jednoczesnego stosowania immunomodulatorów; patrz punkt 5.1). [</w:t>
      </w:r>
      <w:r w:rsidR="008C09CF" w:rsidRPr="004449E1">
        <w:rPr>
          <w:rFonts w:ascii="Times New Roman" w:hAnsi="Times New Roman" w:cs="Times New Roman"/>
          <w:u w:val="single"/>
        </w:rPr>
        <w:t>Zawartość sodu</w:t>
      </w:r>
      <w:r w:rsidR="008C09CF" w:rsidRPr="004449E1">
        <w:rPr>
          <w:rFonts w:ascii="Times New Roman" w:hAnsi="Times New Roman" w:cs="Times New Roman"/>
        </w:rPr>
        <w:t xml:space="preserve"> Lek zawiera mniej niż 1 mmol (23 mg) sodu na dawkę, to znaczy lek uznaje się za „wolny od sodu”.]</w:t>
      </w:r>
      <w:r w:rsidR="004449E1" w:rsidRPr="004449E1">
        <w:rPr>
          <w:rFonts w:ascii="Times New Roman" w:hAnsi="Times New Roman" w:cs="Times New Roman"/>
        </w:rPr>
        <w:t xml:space="preserve">* </w:t>
      </w:r>
      <w:r w:rsidR="008C09CF" w:rsidRPr="004449E1">
        <w:rPr>
          <w:rFonts w:ascii="Times New Roman" w:hAnsi="Times New Roman" w:cs="Times New Roman"/>
        </w:rPr>
        <w:t xml:space="preserve"> </w:t>
      </w:r>
      <w:r w:rsidR="008C09CF" w:rsidRPr="004449E1">
        <w:rPr>
          <w:rFonts w:ascii="Times New Roman" w:hAnsi="Times New Roman" w:cs="Times New Roman"/>
          <w:b/>
          <w:bCs/>
        </w:rPr>
        <w:t>Działania niepożądane:</w:t>
      </w:r>
      <w:r w:rsidR="008C09CF" w:rsidRPr="004449E1">
        <w:rPr>
          <w:rFonts w:ascii="Times New Roman" w:hAnsi="Times New Roman" w:cs="Times New Roman"/>
        </w:rPr>
        <w:t xml:space="preserve"> </w:t>
      </w:r>
      <w:r w:rsidR="008C09CF" w:rsidRPr="004449E1">
        <w:rPr>
          <w:rFonts w:ascii="Times New Roman" w:hAnsi="Times New Roman" w:cs="Times New Roman"/>
          <w:u w:val="single"/>
        </w:rPr>
        <w:t>Podsumowanie profilu bezpieczeństwa</w:t>
      </w:r>
      <w:r w:rsidR="008C09CF" w:rsidRPr="004449E1">
        <w:rPr>
          <w:rFonts w:ascii="Times New Roman" w:hAnsi="Times New Roman" w:cs="Times New Roman"/>
        </w:rPr>
        <w:t xml:space="preserve"> Najczęściej zgłaszanymi działaniami niepożądanymi są zakażenia (takie jak zapalenie jamy nosowo-gardłowej, zakażenie górnych dróg oddechowych, zapalenie oskrzeli, grypa i zapalenie zatok), ból głowy, nudności, gorączka, zmęczenie, kaszel, ból stawów. U pacjentów leczonych wedolizumabem zgłaszano także działania niepożądane w miejscu podania infuzji (wraz z takimi objawami, jak duszność, skurcze oskrzeli, pokrzywka, zaczerwienienie, wysypka, podwyższone ciśnienie krwi i przyspieszone bicie serca). [</w:t>
      </w:r>
      <w:r w:rsidR="008C09CF" w:rsidRPr="004449E1">
        <w:rPr>
          <w:rFonts w:ascii="Times New Roman" w:hAnsi="Times New Roman" w:cs="Times New Roman"/>
          <w:u w:val="single"/>
        </w:rPr>
        <w:t>Podsumowanie profilu bezpieczeństwa</w:t>
      </w:r>
      <w:r w:rsidR="008C09CF" w:rsidRPr="004449E1">
        <w:rPr>
          <w:rFonts w:ascii="Times New Roman" w:hAnsi="Times New Roman" w:cs="Times New Roman"/>
        </w:rPr>
        <w:t xml:space="preserve"> Najczęściej zgłaszanymi działaniami niepożądanymi są zakażenia (takie jak zapalenie jamy nosowo-gardłowej, zakażenie górnych dróg oddechowych, zapalenie oskrzeli, grypa i zapalenie zatok), ból głowy, nudności, gorączka, zmęczenie, kaszel, ból stawów. Z wyjątkiem reakcji w miejscu wstrzyknięcia (po podaniu podskórnym) nie obserwowano klinicznie istotnych różnic w ogólnym profilu bezpieczeństwa stosowania i działań niepożądanych u pacjentów, którzy otrzymywali wedolizumab podskórnie, w porównaniu do profilu bezpieczeństwa stosowania obserwowanego w badaniach klinicznych wedolizumabu podawanego dożylnie.]</w:t>
      </w:r>
      <w:r w:rsidR="004449E1" w:rsidRPr="004449E1">
        <w:rPr>
          <w:rFonts w:ascii="Times New Roman" w:hAnsi="Times New Roman" w:cs="Times New Roman"/>
        </w:rPr>
        <w:t xml:space="preserve">* </w:t>
      </w:r>
      <w:r w:rsidR="008C09CF" w:rsidRPr="004449E1">
        <w:rPr>
          <w:rFonts w:ascii="Times New Roman" w:hAnsi="Times New Roman" w:cs="Times New Roman"/>
        </w:rPr>
        <w:t xml:space="preserve"> </w:t>
      </w:r>
      <w:r w:rsidR="008C09CF" w:rsidRPr="004449E1">
        <w:rPr>
          <w:rFonts w:ascii="Times New Roman" w:hAnsi="Times New Roman" w:cs="Times New Roman"/>
          <w:u w:val="single"/>
        </w:rPr>
        <w:t>Tabelaryczne zestawienie działań niepożądanych</w:t>
      </w:r>
      <w:r w:rsidR="008C09CF" w:rsidRPr="004449E1">
        <w:rPr>
          <w:rFonts w:ascii="Times New Roman" w:hAnsi="Times New Roman" w:cs="Times New Roman"/>
        </w:rPr>
        <w:t xml:space="preserve"> Poniższe zestawienie działań niepożądanych oparte jest na doświadczeniu z badań klinicznych oraz po wprowadzeniu leku do obrotu; działania wymienione są zgodnie z klasyfikacją układów i narządów. W klasyfikacji układów i narządów działania niepożądane są uszeregowane w zależności od częstości występowania w następujących kategoriach: bardzo często (≥ 1/10), często (≥ 1/100 do &lt; 1/10), niezbyt często (≥ 1/1 000 do &lt; 1/100), bardzo rzadko (&lt; 1/10 000) oraz nieznana (częstość nie może być określona na podstawie dostępnych danych). W obrębie każdej grupy o określonej częstości występowania działania niepożądane są wymienione zgodnie ze zmniejszającą się ciężkością. </w:t>
      </w:r>
      <w:r w:rsidR="008C09CF" w:rsidRPr="004449E1">
        <w:rPr>
          <w:rFonts w:ascii="Times New Roman" w:hAnsi="Times New Roman" w:cs="Times New Roman"/>
          <w:b/>
          <w:bCs/>
        </w:rPr>
        <w:t>Bardzo często:</w:t>
      </w:r>
      <w:r w:rsidR="008C09CF" w:rsidRPr="004449E1">
        <w:rPr>
          <w:rFonts w:ascii="Times New Roman" w:hAnsi="Times New Roman" w:cs="Times New Roman"/>
        </w:rPr>
        <w:t xml:space="preserve"> zapalenie jamy nosowo-gardłowej, ból głowy, bóle stawów. </w:t>
      </w:r>
      <w:r w:rsidR="008C09CF" w:rsidRPr="004449E1">
        <w:rPr>
          <w:rFonts w:ascii="Times New Roman" w:hAnsi="Times New Roman" w:cs="Times New Roman"/>
          <w:b/>
          <w:bCs/>
        </w:rPr>
        <w:t>Często:</w:t>
      </w:r>
      <w:r w:rsidR="008C09CF" w:rsidRPr="004449E1">
        <w:rPr>
          <w:rFonts w:ascii="Times New Roman" w:hAnsi="Times New Roman" w:cs="Times New Roman"/>
        </w:rPr>
        <w:t xml:space="preserve"> zapalenie oskrzeli, zapalenie przewodu pokarmowego, zakażenie górnych dróg oddechowych, grypa, </w:t>
      </w:r>
      <w:r w:rsidR="008C09CF" w:rsidRPr="004449E1">
        <w:rPr>
          <w:rFonts w:ascii="Times New Roman" w:hAnsi="Times New Roman" w:cs="Times New Roman"/>
        </w:rPr>
        <w:lastRenderedPageBreak/>
        <w:t>zapalenie zatok, zapalenie gardła, parestezje, nadciśnienie tętnicze, ból jamy ustnej i gardła, niedrożność nosa, kaszel, ropień odbytu, szczelina odbytu, nudności, niestrawność, zaparcie, rozdęcie jamy brzusznej, wzdęcie z oddawaniem wiatrów, guzki krwawnicze odbytu, wysypka, świąd, wyprysk, rumień, nocne poty, trądzik, skurcze mięśni, ból pleców, osłabienie mięśni, zmęczenie, bóle kończyn, gorączka</w:t>
      </w:r>
      <w:r w:rsidR="00BF1062" w:rsidRPr="004449E1">
        <w:rPr>
          <w:rFonts w:ascii="Times New Roman" w:hAnsi="Times New Roman" w:cs="Times New Roman"/>
        </w:rPr>
        <w:t>, [reakcje w miejscu podania]</w:t>
      </w:r>
      <w:r w:rsidR="004449E1" w:rsidRPr="004449E1">
        <w:rPr>
          <w:rFonts w:ascii="Times New Roman" w:hAnsi="Times New Roman" w:cs="Times New Roman"/>
        </w:rPr>
        <w:t>*</w:t>
      </w:r>
      <w:r w:rsidR="008C09CF" w:rsidRPr="004449E1">
        <w:rPr>
          <w:rFonts w:ascii="Times New Roman" w:hAnsi="Times New Roman" w:cs="Times New Roman"/>
        </w:rPr>
        <w:t xml:space="preserve">. </w:t>
      </w:r>
      <w:r w:rsidR="008C09CF" w:rsidRPr="004449E1">
        <w:rPr>
          <w:rFonts w:ascii="Times New Roman" w:hAnsi="Times New Roman" w:cs="Times New Roman"/>
          <w:b/>
          <w:bCs/>
        </w:rPr>
        <w:t>Niezbyt często:</w:t>
      </w:r>
      <w:r w:rsidR="008C09CF" w:rsidRPr="004449E1">
        <w:rPr>
          <w:rFonts w:ascii="Times New Roman" w:hAnsi="Times New Roman" w:cs="Times New Roman"/>
        </w:rPr>
        <w:t xml:space="preserve"> zakażenie dróg oddechowych, kandydoza sromu i pochwy, kandydoza jamy ustnej, półpasiec, zapalenie mieszków włosowych, reakcja w miejscu infuzji (obejmująca: ból w miejscu infuzji i podrażnienie w miejscu infuzji), reakcja związana z infuzją, dreszcze, uczucie zimna. </w:t>
      </w:r>
      <w:r w:rsidR="008C09CF" w:rsidRPr="004449E1">
        <w:rPr>
          <w:rFonts w:ascii="Times New Roman" w:hAnsi="Times New Roman" w:cs="Times New Roman"/>
          <w:b/>
          <w:bCs/>
        </w:rPr>
        <w:t>Bardzo rzadko:</w:t>
      </w:r>
      <w:r w:rsidR="008C09CF" w:rsidRPr="004449E1">
        <w:rPr>
          <w:rFonts w:ascii="Times New Roman" w:hAnsi="Times New Roman" w:cs="Times New Roman"/>
        </w:rPr>
        <w:t xml:space="preserve"> Zapalenie płuc, </w:t>
      </w:r>
      <w:r w:rsidR="00BF1062" w:rsidRPr="004449E1">
        <w:rPr>
          <w:rFonts w:ascii="Times New Roman" w:hAnsi="Times New Roman" w:cs="Times New Roman"/>
        </w:rPr>
        <w:t>r</w:t>
      </w:r>
      <w:r w:rsidR="008C09CF" w:rsidRPr="004449E1">
        <w:rPr>
          <w:rFonts w:ascii="Times New Roman" w:hAnsi="Times New Roman" w:cs="Times New Roman"/>
        </w:rPr>
        <w:t xml:space="preserve">eakcja anafilaktyczna, wstrząs anafilaktyczny, niewyraźne widzenie. </w:t>
      </w:r>
      <w:r w:rsidR="008C09CF" w:rsidRPr="004449E1">
        <w:rPr>
          <w:rFonts w:ascii="Times New Roman" w:hAnsi="Times New Roman" w:cs="Times New Roman"/>
          <w:b/>
          <w:bCs/>
        </w:rPr>
        <w:t>Częstość nieznana:</w:t>
      </w:r>
      <w:r w:rsidR="008C09CF" w:rsidRPr="004449E1">
        <w:rPr>
          <w:rFonts w:ascii="Times New Roman" w:hAnsi="Times New Roman" w:cs="Times New Roman"/>
        </w:rPr>
        <w:t xml:space="preserve"> śródmiąższowa choroba płuc.</w:t>
      </w:r>
      <w:r w:rsidR="00BF1062" w:rsidRPr="004449E1">
        <w:rPr>
          <w:rFonts w:ascii="Times New Roman" w:hAnsi="Times New Roman" w:cs="Times New Roman"/>
        </w:rPr>
        <w:t xml:space="preserve"> </w:t>
      </w:r>
      <w:r w:rsidR="00BF1062" w:rsidRPr="004449E1">
        <w:rPr>
          <w:rFonts w:ascii="Times New Roman" w:hAnsi="Times New Roman" w:cs="Times New Roman"/>
          <w:u w:val="single"/>
        </w:rPr>
        <w:t>Opis wybranych działań niepożądanych</w:t>
      </w:r>
      <w:r w:rsidR="00BF1062" w:rsidRPr="004449E1">
        <w:rPr>
          <w:rFonts w:ascii="Times New Roman" w:hAnsi="Times New Roman" w:cs="Times New Roman"/>
        </w:rPr>
        <w:t xml:space="preserve"> </w:t>
      </w:r>
      <w:r w:rsidR="00BF1062" w:rsidRPr="004449E1">
        <w:rPr>
          <w:rFonts w:ascii="Times New Roman" w:hAnsi="Times New Roman" w:cs="Times New Roman"/>
          <w:i/>
          <w:iCs/>
          <w:u w:val="single"/>
        </w:rPr>
        <w:t>Działania niepożądane związane z infuzją</w:t>
      </w:r>
      <w:r w:rsidR="00BF1062" w:rsidRPr="004449E1">
        <w:rPr>
          <w:rFonts w:ascii="Times New Roman" w:hAnsi="Times New Roman" w:cs="Times New Roman"/>
        </w:rPr>
        <w:t xml:space="preserve"> W kontrolowanych placebo badaniach GEMINI 1 i 2 u 4% pacjentów otrzymujących wedolizumab dożylnie i 3% pacjentów otrzymujących placebo wystąpiło działanie niepożądane, zdefiniowane przez badacza jako reakcja związana z infuzją (IRR) (patrz punkt 4.4 ChPL). Żadne z pojedynczych zdarzeń zgłoszonych w terminologii jako IRR nie występowało z częstością ponad 1%. Większość IRR miała nasilenie łagodne lub umiarkowane, a &lt; 1% konieczne było przerwanie leczenia w ramach badania. Obserwowane IRR ustępowały bez lub po minimalnej interwencji po zakończeniu infuzji. Większość reakcji związanych z infuzją wystąpiła w ciągu 2 pierwszych godzin. Wśród pacjentów, u których wystąpiła reakcja związana z infuzją większa liczba reakcji w ciągu pierwszych 2 godzin po zakończeniu infuzji wystąpiła u pacjentów otrzymujących wedolizumab dożylnie niż u pacjentów otrzymujących placebo. Większość reakcji związanych z infuzją nie była ciężka i wystąpiła w trakcie infuzji lub w ciągu godziny od jego zakończenia. Zgłoszono jedno ciężkie działanie niepożądane w postaci IRR u pacjenta z chorobą Leśniowskiego-Crohna podczas drugiej infuzji (zgłoszone objawy obejmowały duszność, skurcz oskrzeli, pokrzywkę, uderzenia gorąca, wysypkę oraz zwiększenie ciśnienia krwi i częstości serca), które skutecznie opanowano, przerywając infuzję oraz podając lek przeciwhistaminowy i hydrokortyzon dożylnie. Wśród pacjentów, którzy otrzymywali wedolizumab dożylnie w tygodniu 0 i 2, a następnie placebo nie zaobserwowano zwiększenia częstości występowania IRR po wznowieniu leczenia wedolizumabem podawanym dożylnie po utracie odpowiedzi. [</w:t>
      </w:r>
      <w:r w:rsidR="00BF1062" w:rsidRPr="004449E1">
        <w:rPr>
          <w:rFonts w:ascii="Times New Roman" w:hAnsi="Times New Roman" w:cs="Times New Roman"/>
          <w:i/>
          <w:iCs/>
          <w:u w:val="single"/>
        </w:rPr>
        <w:t>Reakcje w miejscu podania</w:t>
      </w:r>
      <w:r w:rsidR="00BF1062" w:rsidRPr="004449E1">
        <w:rPr>
          <w:rFonts w:ascii="Times New Roman" w:hAnsi="Times New Roman" w:cs="Times New Roman"/>
        </w:rPr>
        <w:t xml:space="preserve"> Reakcje w miejscu podania (w tym ból, obrzęk, rumień lub świąd) zgłaszano u 5,1% pacjentów otrzymujących wedolizumab podskórnie (zbiorcza analiza bezpieczeństwa). Żadna z nich nie spowodowała przerwania badanego leczenia ani zmian schematu dawkowania. Większość reakcji w miejscu podania ustąpiła w ciągu 1- 4 dni. Nie było doniesień o reakcji anafilaktycznej po podskórnym podaniu wedolizumabu.]</w:t>
      </w:r>
      <w:r w:rsidR="004449E1" w:rsidRPr="004449E1">
        <w:rPr>
          <w:rFonts w:ascii="Times New Roman" w:hAnsi="Times New Roman" w:cs="Times New Roman"/>
        </w:rPr>
        <w:t xml:space="preserve">* </w:t>
      </w:r>
      <w:r w:rsidR="00BF1062" w:rsidRPr="004449E1">
        <w:rPr>
          <w:rFonts w:ascii="Times New Roman" w:hAnsi="Times New Roman" w:cs="Times New Roman"/>
        </w:rPr>
        <w:t xml:space="preserve"> </w:t>
      </w:r>
      <w:r w:rsidR="00BF1062" w:rsidRPr="004449E1">
        <w:rPr>
          <w:rFonts w:ascii="Times New Roman" w:hAnsi="Times New Roman" w:cs="Times New Roman"/>
          <w:i/>
          <w:iCs/>
          <w:u w:val="single"/>
        </w:rPr>
        <w:t>Zakażenia</w:t>
      </w:r>
      <w:r w:rsidR="00BF1062" w:rsidRPr="004449E1">
        <w:rPr>
          <w:rFonts w:ascii="Times New Roman" w:hAnsi="Times New Roman" w:cs="Times New Roman"/>
        </w:rPr>
        <w:t xml:space="preserve"> W kontrolowanych badaniach GEMIN</w:t>
      </w:r>
      <w:r w:rsidR="00D4676A" w:rsidRPr="004449E1">
        <w:rPr>
          <w:rFonts w:ascii="Times New Roman" w:hAnsi="Times New Roman" w:cs="Times New Roman"/>
        </w:rPr>
        <w:t>I</w:t>
      </w:r>
      <w:r w:rsidR="00BF1062" w:rsidRPr="004449E1">
        <w:rPr>
          <w:rFonts w:ascii="Times New Roman" w:hAnsi="Times New Roman" w:cs="Times New Roman"/>
        </w:rPr>
        <w:t xml:space="preserve"> 1 i 2 wskaźnik występowania zakażeń wynosił 0,85 na pacjento-rok wśród pacjentów otrzymujących wedolizumab oraz 0,70 na pacjenta-rok wśród pacjentów otrzymujących placebo. Zakażenia te obejmowały głównie zapalenie jamy nosowo-gardłowej, zakażenie górnych dróg oddechowych, zapalenie zatok i zakażenia dróg moczowych. Większość pacjentów kontynuowała leczenie wedolizumabem po ustąpieniu zakażenia. W kontrolowanych badaniach GEMINI 1 i 3</w:t>
      </w:r>
      <w:r w:rsidR="00D4676A" w:rsidRPr="004449E1">
        <w:rPr>
          <w:rFonts w:ascii="Times New Roman" w:hAnsi="Times New Roman" w:cs="Times New Roman"/>
        </w:rPr>
        <w:t xml:space="preserve"> [GEMINI 1 </w:t>
      </w:r>
      <w:proofErr w:type="gramStart"/>
      <w:r w:rsidR="00D4676A" w:rsidRPr="004449E1">
        <w:rPr>
          <w:rFonts w:ascii="Times New Roman" w:hAnsi="Times New Roman" w:cs="Times New Roman"/>
        </w:rPr>
        <w:t>i 2]</w:t>
      </w:r>
      <w:r w:rsidR="004449E1" w:rsidRPr="004449E1">
        <w:rPr>
          <w:rFonts w:ascii="Times New Roman" w:hAnsi="Times New Roman" w:cs="Times New Roman"/>
        </w:rPr>
        <w:t xml:space="preserve">* </w:t>
      </w:r>
      <w:r w:rsidR="00BF1062" w:rsidRPr="004449E1">
        <w:rPr>
          <w:rFonts w:ascii="Times New Roman" w:hAnsi="Times New Roman" w:cs="Times New Roman"/>
        </w:rPr>
        <w:t xml:space="preserve"> wskaźnik</w:t>
      </w:r>
      <w:proofErr w:type="gramEnd"/>
      <w:r w:rsidR="00BF1062" w:rsidRPr="004449E1">
        <w:rPr>
          <w:rFonts w:ascii="Times New Roman" w:hAnsi="Times New Roman" w:cs="Times New Roman"/>
        </w:rPr>
        <w:t xml:space="preserve"> występowania ciężkich zakażeń wynosił 0,07 na pacjento-rok wśród pacjentów otrzymujących wedolizumab dożylnie oraz 0,06 na pacjento-rok wśród pacjentów otrzymujących placebo. Nie stwierdzono znaczącego wzrostu wskaźnika występowania ciężkich zakażeń wraz z czasem trwania leczenia. W badaniach kontrolowanych i w badaniach otwartych z udziałem dorosłych pacjentów leczonych wedolizumabem podawanym dożylnie zgłaszano ciężkie zakażenia obejmujące gruźlicę, posocznicę (w niektórych przypadkach zakończoną zgonem), posocznicę spowodowaną przez </w:t>
      </w:r>
      <w:r w:rsidR="00BF1062" w:rsidRPr="004449E1">
        <w:rPr>
          <w:rFonts w:ascii="Times New Roman" w:hAnsi="Times New Roman" w:cs="Times New Roman"/>
          <w:i/>
          <w:iCs/>
        </w:rPr>
        <w:t>Salmonella</w:t>
      </w:r>
      <w:r w:rsidR="00BF1062" w:rsidRPr="004449E1">
        <w:rPr>
          <w:rFonts w:ascii="Times New Roman" w:hAnsi="Times New Roman" w:cs="Times New Roman"/>
        </w:rPr>
        <w:t xml:space="preserve">, zapalenie opon mózgowo-rdzeniowych spowodowane przez </w:t>
      </w:r>
      <w:r w:rsidR="00BF1062" w:rsidRPr="004449E1">
        <w:rPr>
          <w:rFonts w:ascii="Times New Roman" w:hAnsi="Times New Roman" w:cs="Times New Roman"/>
          <w:i/>
          <w:iCs/>
        </w:rPr>
        <w:t>Listeria monocytogenes</w:t>
      </w:r>
      <w:r w:rsidR="00BF1062" w:rsidRPr="004449E1">
        <w:rPr>
          <w:rFonts w:ascii="Times New Roman" w:hAnsi="Times New Roman" w:cs="Times New Roman"/>
        </w:rPr>
        <w:t xml:space="preserve"> oraz zapalenie jelita grubego spowodowane przez wirusa cytomegalii.</w:t>
      </w:r>
      <w:r w:rsidR="00D4676A" w:rsidRPr="004449E1">
        <w:rPr>
          <w:rFonts w:ascii="Times New Roman" w:hAnsi="Times New Roman" w:cs="Times New Roman"/>
        </w:rPr>
        <w:t xml:space="preserve"> [W badaniach klinicznych wedolizumabu podawanego podskórnie częstość zakażeń u pacjentów leczonych wedolizumabem wynosiła 0,26 na pacjento-rok. Najczęstszymi zakażeniami było zapalenie błony śluzowej nosa i gardła, zakażenie górnych dróg oddechowych, zapalenie oskrzeli i grypa. W badaniach klinicznych wedolizumabu podawanego podskórnie częstość ciężkich zakażeń u pacjentów leczonych wedolizumabem podawanym podskórnie wynosiła 0,02 na pacjento-rok.]</w:t>
      </w:r>
      <w:r w:rsidR="004449E1" w:rsidRPr="004449E1">
        <w:rPr>
          <w:rFonts w:ascii="Times New Roman" w:hAnsi="Times New Roman" w:cs="Times New Roman"/>
        </w:rPr>
        <w:t xml:space="preserve">* </w:t>
      </w:r>
      <w:r w:rsidR="00BF1062" w:rsidRPr="004449E1">
        <w:rPr>
          <w:rFonts w:ascii="Times New Roman" w:hAnsi="Times New Roman" w:cs="Times New Roman"/>
        </w:rPr>
        <w:t xml:space="preserve"> W badaniach klinicznych wedolizumabu podawanego dożylnie</w:t>
      </w:r>
      <w:r w:rsidR="00D4676A" w:rsidRPr="004449E1">
        <w:rPr>
          <w:rFonts w:ascii="Times New Roman" w:hAnsi="Times New Roman" w:cs="Times New Roman"/>
        </w:rPr>
        <w:t xml:space="preserve"> [i </w:t>
      </w:r>
      <w:proofErr w:type="gramStart"/>
      <w:r w:rsidR="00D4676A" w:rsidRPr="004449E1">
        <w:rPr>
          <w:rFonts w:ascii="Times New Roman" w:hAnsi="Times New Roman" w:cs="Times New Roman"/>
        </w:rPr>
        <w:t>podskórnie]</w:t>
      </w:r>
      <w:r w:rsidR="004449E1" w:rsidRPr="004449E1">
        <w:rPr>
          <w:rFonts w:ascii="Times New Roman" w:hAnsi="Times New Roman" w:cs="Times New Roman"/>
        </w:rPr>
        <w:t xml:space="preserve">* </w:t>
      </w:r>
      <w:r w:rsidR="00BF1062" w:rsidRPr="004449E1">
        <w:rPr>
          <w:rFonts w:ascii="Times New Roman" w:hAnsi="Times New Roman" w:cs="Times New Roman"/>
        </w:rPr>
        <w:t xml:space="preserve"> częstość</w:t>
      </w:r>
      <w:proofErr w:type="gramEnd"/>
      <w:r w:rsidR="00BF1062" w:rsidRPr="004449E1">
        <w:rPr>
          <w:rFonts w:ascii="Times New Roman" w:hAnsi="Times New Roman" w:cs="Times New Roman"/>
        </w:rPr>
        <w:t xml:space="preserve"> zakażeń u </w:t>
      </w:r>
      <w:r w:rsidR="00BF1062" w:rsidRPr="004449E1">
        <w:rPr>
          <w:rFonts w:ascii="Times New Roman" w:hAnsi="Times New Roman" w:cs="Times New Roman"/>
        </w:rPr>
        <w:lastRenderedPageBreak/>
        <w:t>pacjentów leczonych wedolizumabem z BMI 30 kg/m2 pc. i powyżej była większa niż u pacjentów z BMI poniżej 30 kg/m2 pc. W badaniach klinicznych wedolizumabu podawanego dożylnie</w:t>
      </w:r>
      <w:r w:rsidR="00D4676A" w:rsidRPr="004449E1">
        <w:rPr>
          <w:rFonts w:ascii="Times New Roman" w:hAnsi="Times New Roman" w:cs="Times New Roman"/>
        </w:rPr>
        <w:t xml:space="preserve"> [i podskórnie]</w:t>
      </w:r>
      <w:r w:rsidR="004449E1" w:rsidRPr="004449E1">
        <w:rPr>
          <w:rFonts w:ascii="Times New Roman" w:hAnsi="Times New Roman" w:cs="Times New Roman"/>
        </w:rPr>
        <w:t>*</w:t>
      </w:r>
      <w:r w:rsidR="00BF1062" w:rsidRPr="004449E1">
        <w:rPr>
          <w:rFonts w:ascii="Times New Roman" w:hAnsi="Times New Roman" w:cs="Times New Roman"/>
        </w:rPr>
        <w:t>, nieco większą częstość występowania ciężkich zakażeń zgłaszano u pacjentów leczonych wedolizumabem, którzy byli wcześniej leczeni antagonistami TNFα w porównaniu do pacjentów, którzy nie byli wcześniej leczeni antagonistami TNFα</w:t>
      </w:r>
      <w:r w:rsidR="00D4676A" w:rsidRPr="004449E1">
        <w:rPr>
          <w:rFonts w:ascii="Times New Roman" w:hAnsi="Times New Roman" w:cs="Times New Roman"/>
        </w:rPr>
        <w:t xml:space="preserve">. </w:t>
      </w:r>
      <w:r w:rsidR="00D4676A" w:rsidRPr="004449E1">
        <w:rPr>
          <w:rFonts w:ascii="Times New Roman" w:hAnsi="Times New Roman" w:cs="Times New Roman"/>
          <w:i/>
          <w:iCs/>
          <w:u w:val="single"/>
        </w:rPr>
        <w:t>Nowotwory złośliwe</w:t>
      </w:r>
      <w:r w:rsidR="00D4676A" w:rsidRPr="004449E1">
        <w:rPr>
          <w:rFonts w:ascii="Times New Roman" w:hAnsi="Times New Roman" w:cs="Times New Roman"/>
        </w:rPr>
        <w:t xml:space="preserve"> Wyniki uzyskane do tej pory z programu badań klinicznych nie wskazują na zwiększenia ryzyka nowotworów złośliwych w związku z leczeniem wedolizumabem, jednakże liczba nowotworów złośliwych była mała, a ekspozycja długoterminowa była ograniczona. Obecnie trwa długoterminowa obserwacja w kierunku bezpieczeństwa. </w:t>
      </w:r>
      <w:r w:rsidR="00D4676A" w:rsidRPr="004449E1">
        <w:rPr>
          <w:rFonts w:ascii="Times New Roman" w:hAnsi="Times New Roman" w:cs="Times New Roman"/>
          <w:b/>
          <w:bCs/>
        </w:rPr>
        <w:t>Zgłaszanie podejrzewanych działań niepożądanych</w:t>
      </w:r>
      <w:r w:rsidR="00A64601" w:rsidRPr="004449E1">
        <w:rPr>
          <w:rFonts w:ascii="Times New Roman" w:hAnsi="Times New Roman" w:cs="Times New Roman"/>
          <w:b/>
          <w:bCs/>
        </w:rPr>
        <w:t>:</w:t>
      </w:r>
      <w:r w:rsidR="00D4676A" w:rsidRPr="004449E1">
        <w:rPr>
          <w:rFonts w:ascii="Times New Roman" w:hAnsi="Times New Roman" w:cs="Times New Roman"/>
        </w:rPr>
        <w:t xml:space="preserve"> 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Departamentu Monitorowania Niepożądanych Działań Produktów Leczniczych Urzędu Rejestracji Produktów Leczniczych, Wyrobów Medycznych i Produktów Biobójczych Al. Jerozolimskie 181 C, 02-222 Warszawa, tel.: + 48 22 49 21 301, faks: + 48 22 49 21 309, strona internetowa: https</w:t>
      </w:r>
      <w:proofErr w:type="gramStart"/>
      <w:r w:rsidR="00D4676A" w:rsidRPr="004449E1">
        <w:rPr>
          <w:rFonts w:ascii="Times New Roman" w:hAnsi="Times New Roman" w:cs="Times New Roman"/>
        </w:rPr>
        <w:t>://smz</w:t>
      </w:r>
      <w:proofErr w:type="gramEnd"/>
      <w:r w:rsidR="00D4676A" w:rsidRPr="004449E1">
        <w:rPr>
          <w:rFonts w:ascii="Times New Roman" w:hAnsi="Times New Roman" w:cs="Times New Roman"/>
        </w:rPr>
        <w:t>.</w:t>
      </w:r>
      <w:proofErr w:type="gramStart"/>
      <w:r w:rsidR="00D4676A" w:rsidRPr="004449E1">
        <w:rPr>
          <w:rFonts w:ascii="Times New Roman" w:hAnsi="Times New Roman" w:cs="Times New Roman"/>
        </w:rPr>
        <w:t>ezdrowie</w:t>
      </w:r>
      <w:proofErr w:type="gramEnd"/>
      <w:r w:rsidR="00D4676A" w:rsidRPr="004449E1">
        <w:rPr>
          <w:rFonts w:ascii="Times New Roman" w:hAnsi="Times New Roman" w:cs="Times New Roman"/>
        </w:rPr>
        <w:t>.</w:t>
      </w:r>
      <w:proofErr w:type="gramStart"/>
      <w:r w:rsidR="00D4676A" w:rsidRPr="004449E1">
        <w:rPr>
          <w:rFonts w:ascii="Times New Roman" w:hAnsi="Times New Roman" w:cs="Times New Roman"/>
        </w:rPr>
        <w:t>gov</w:t>
      </w:r>
      <w:proofErr w:type="gramEnd"/>
      <w:r w:rsidR="00D4676A" w:rsidRPr="004449E1">
        <w:rPr>
          <w:rFonts w:ascii="Times New Roman" w:hAnsi="Times New Roman" w:cs="Times New Roman"/>
        </w:rPr>
        <w:t>.</w:t>
      </w:r>
      <w:proofErr w:type="gramStart"/>
      <w:r w:rsidR="00D4676A" w:rsidRPr="004449E1">
        <w:rPr>
          <w:rFonts w:ascii="Times New Roman" w:hAnsi="Times New Roman" w:cs="Times New Roman"/>
        </w:rPr>
        <w:t>pl</w:t>
      </w:r>
      <w:proofErr w:type="gramEnd"/>
      <w:r w:rsidR="00D4676A" w:rsidRPr="004449E1">
        <w:rPr>
          <w:rFonts w:ascii="Times New Roman" w:hAnsi="Times New Roman" w:cs="Times New Roman"/>
        </w:rPr>
        <w:t xml:space="preserve">. </w:t>
      </w:r>
      <w:r w:rsidR="00D4676A" w:rsidRPr="004449E1">
        <w:rPr>
          <w:rFonts w:ascii="Times New Roman" w:hAnsi="Times New Roman" w:cs="Times New Roman"/>
          <w:b/>
          <w:bCs/>
        </w:rPr>
        <w:t>Produkt dostępny jest w następujących opakowaniach:</w:t>
      </w:r>
      <w:r w:rsidR="00D4676A" w:rsidRPr="004449E1">
        <w:rPr>
          <w:rFonts w:ascii="Times New Roman" w:hAnsi="Times New Roman" w:cs="Times New Roman"/>
        </w:rPr>
        <w:t xml:space="preserve"> Proszek do sporządzania koncentratu roztworu do infuzji w fiolce (20 ml) ze szkła typu I, zamkniętej gumowym korkiem i aluminiowym kapslem, zabezpieczonym plastikową nakładką. Każde opakowanie zawiera 1 fiolkę. [</w:t>
      </w:r>
      <w:r w:rsidR="00D4676A" w:rsidRPr="004449E1">
        <w:rPr>
          <w:rFonts w:ascii="Times New Roman" w:hAnsi="Times New Roman" w:cs="Times New Roman"/>
          <w:u w:val="single"/>
        </w:rPr>
        <w:t>Entyvio 108 mg roztwór do wstrzykiwań we wstrzykiwaczu półautomatycznym napełnionym</w:t>
      </w:r>
      <w:r w:rsidR="00D4676A" w:rsidRPr="004449E1">
        <w:rPr>
          <w:rFonts w:ascii="Times New Roman" w:hAnsi="Times New Roman" w:cs="Times New Roman"/>
        </w:rPr>
        <w:t xml:space="preserve"> Roztwór do wstrzykiwań we wstrzykiwaczu półautomatycznym napełnionym w strzykawce o pojemności 1 ml ze szkła typu I z przymocowaną cienkościenną igłą 27 G, 1,27 cm. Strzykawka ma gumową osłonę igły zamkniętą w plastikowej osłonie i gumowy korek. Wedolizumab do podawania podskórnego we wstrzykiwaczu półautomatycznym napełnionym to jednorazowy zestaw do ręcznego wstrzykiwania leku. Każdy wstrzykiwacz półautomatyczny napełniony jest wyposażony w automatyczną osłonę igły, która wysuwa się i blokuje igłę po wyprowadzeniu urządzenia z miejsca wstrzyknięcia. Opakowania z 1 wstrzykiwaczem półautomatycznym napełnionym i opakowania zbiorcze z 2 (2 opakowania po 1) lub z 6 (6 opakowań po 1) wstrzykiwaczami półautomatycznymi napełnionymi. Nie wszystkie wielkości opakowań muszą znajdować się w obrocie.]</w:t>
      </w:r>
      <w:r w:rsidR="004449E1" w:rsidRPr="004449E1">
        <w:rPr>
          <w:rFonts w:ascii="Times New Roman" w:hAnsi="Times New Roman" w:cs="Times New Roman"/>
        </w:rPr>
        <w:t xml:space="preserve">* </w:t>
      </w:r>
      <w:r w:rsidR="00D4676A" w:rsidRPr="004449E1">
        <w:rPr>
          <w:rFonts w:ascii="Times New Roman" w:hAnsi="Times New Roman" w:cs="Times New Roman"/>
        </w:rPr>
        <w:t xml:space="preserve"> Pod</w:t>
      </w:r>
      <w:r w:rsidR="00D4676A" w:rsidRPr="004449E1">
        <w:rPr>
          <w:rFonts w:ascii="Times New Roman" w:hAnsi="Times New Roman" w:cs="Times New Roman"/>
          <w:b/>
          <w:bCs/>
        </w:rPr>
        <w:t>miot odpowiedzialny posiadający pozwolenie na dopuszczenie do obrotu:</w:t>
      </w:r>
      <w:r w:rsidR="00D4676A" w:rsidRPr="004449E1">
        <w:rPr>
          <w:rFonts w:ascii="Times New Roman" w:hAnsi="Times New Roman" w:cs="Times New Roman"/>
        </w:rPr>
        <w:t xml:space="preserve"> Takeda Pharma A/S, Delta Park 45, 2665 Vallensbaek Strand, Dania. </w:t>
      </w:r>
      <w:r w:rsidR="00D4676A" w:rsidRPr="004449E1">
        <w:rPr>
          <w:rFonts w:ascii="Times New Roman" w:hAnsi="Times New Roman" w:cs="Times New Roman"/>
          <w:b/>
          <w:bCs/>
        </w:rPr>
        <w:t>Numer pozwolenia na dopuszczenie do obrotu:</w:t>
      </w:r>
      <w:r w:rsidR="00D4676A" w:rsidRPr="004449E1">
        <w:rPr>
          <w:rFonts w:ascii="Times New Roman" w:hAnsi="Times New Roman" w:cs="Times New Roman"/>
        </w:rPr>
        <w:t xml:space="preserve"> </w:t>
      </w:r>
      <w:r w:rsidR="004449E1" w:rsidRPr="004449E1">
        <w:rPr>
          <w:rFonts w:ascii="Times New Roman" w:hAnsi="Times New Roman" w:cs="Times New Roman"/>
        </w:rPr>
        <w:t xml:space="preserve">EU/1/14/923/001 proszek do sporządzania roztworu; EU/1/14/923/005 1 </w:t>
      </w:r>
      <w:proofErr w:type="spellStart"/>
      <w:r w:rsidR="004449E1" w:rsidRPr="004449E1">
        <w:rPr>
          <w:rFonts w:ascii="Times New Roman" w:hAnsi="Times New Roman" w:cs="Times New Roman"/>
        </w:rPr>
        <w:t>wstrzykiwacz</w:t>
      </w:r>
      <w:proofErr w:type="spellEnd"/>
      <w:r w:rsidR="004449E1" w:rsidRPr="004449E1">
        <w:rPr>
          <w:rFonts w:ascii="Times New Roman" w:hAnsi="Times New Roman" w:cs="Times New Roman"/>
        </w:rPr>
        <w:t xml:space="preserve"> półautomatyczny napełniony; EU/1/14/923/006 Opakowanie zbiorcze: 2 (2 opakowania x 1) </w:t>
      </w:r>
      <w:proofErr w:type="spellStart"/>
      <w:r w:rsidR="004449E1" w:rsidRPr="004449E1">
        <w:rPr>
          <w:rFonts w:ascii="Times New Roman" w:hAnsi="Times New Roman" w:cs="Times New Roman"/>
        </w:rPr>
        <w:t>wstrzykiwacze</w:t>
      </w:r>
      <w:proofErr w:type="spellEnd"/>
      <w:r w:rsidR="004449E1" w:rsidRPr="004449E1">
        <w:rPr>
          <w:rFonts w:ascii="Times New Roman" w:hAnsi="Times New Roman" w:cs="Times New Roman"/>
        </w:rPr>
        <w:t xml:space="preserve"> półautomatyczne napełnione; EU/1/14/923/007 Opakowanie zbiorcze: 6 (6 opakowań x 1) </w:t>
      </w:r>
      <w:proofErr w:type="spellStart"/>
      <w:r w:rsidR="004449E1" w:rsidRPr="004449E1">
        <w:rPr>
          <w:rFonts w:ascii="Times New Roman" w:hAnsi="Times New Roman" w:cs="Times New Roman"/>
        </w:rPr>
        <w:t>wstrzykiwaczy</w:t>
      </w:r>
      <w:proofErr w:type="spellEnd"/>
      <w:r w:rsidR="004449E1" w:rsidRPr="004449E1">
        <w:rPr>
          <w:rFonts w:ascii="Times New Roman" w:hAnsi="Times New Roman" w:cs="Times New Roman"/>
        </w:rPr>
        <w:t xml:space="preserve"> półautomatycznych napełnionych, wydane przez Komisję Europejską</w:t>
      </w:r>
      <w:r w:rsidR="009E1BE1" w:rsidRPr="004449E1">
        <w:rPr>
          <w:rFonts w:ascii="Times New Roman" w:hAnsi="Times New Roman" w:cs="Times New Roman"/>
        </w:rPr>
        <w:t xml:space="preserve">. </w:t>
      </w:r>
      <w:r w:rsidR="009E1BE1" w:rsidRPr="004449E1">
        <w:rPr>
          <w:rFonts w:ascii="Times New Roman" w:hAnsi="Times New Roman" w:cs="Times New Roman"/>
          <w:b/>
          <w:bCs/>
        </w:rPr>
        <w:t>Kategoria dostępności:</w:t>
      </w:r>
      <w:r w:rsidR="009E1BE1" w:rsidRPr="004449E1">
        <w:rPr>
          <w:rFonts w:ascii="Times New Roman" w:hAnsi="Times New Roman" w:cs="Times New Roman"/>
        </w:rPr>
        <w:t xml:space="preserve"> Produkt leczniczy wydawany na receptę do zastrzeżonego stosowania</w:t>
      </w:r>
      <w:r w:rsidR="001641C8" w:rsidRPr="004449E1">
        <w:rPr>
          <w:rFonts w:ascii="Times New Roman" w:hAnsi="Times New Roman" w:cs="Times New Roman"/>
        </w:rPr>
        <w:t xml:space="preserve">. </w:t>
      </w:r>
      <w:r w:rsidR="001641C8" w:rsidRPr="004449E1">
        <w:rPr>
          <w:rFonts w:ascii="Times New Roman" w:hAnsi="Times New Roman" w:cs="Times New Roman"/>
          <w:b/>
          <w:bCs/>
        </w:rPr>
        <w:t>Odpłatność:</w:t>
      </w:r>
      <w:r w:rsidR="001641C8" w:rsidRPr="004449E1">
        <w:rPr>
          <w:rFonts w:ascii="Times New Roman" w:hAnsi="Times New Roman" w:cs="Times New Roman"/>
        </w:rPr>
        <w:t xml:space="preserve"> Leczenie finansowane w całości ze środków publicznych w ramach programu lekowego: załącznik B.32 oraz B.55 do Obwieszczenia Ministra Zdrowia z dn. 23 października 2019, w sprawie wykazu refundowanych leków, środków spożywczych specjalnego przeznaczenia żywieniowego oraz wyrobów medycznych na 1 listopada 2019 (dotyczy jedynie postaci dożylnej). Szczegółowe informacje o tym produkcie leczniczym są dostępne na stronie internetowej Europejskiej Agencji Leków </w:t>
      </w:r>
      <w:hyperlink r:id="rId6" w:history="1">
        <w:r w:rsidR="00615C13" w:rsidRPr="004449E1">
          <w:rPr>
            <w:rStyle w:val="Hyperlink"/>
            <w:rFonts w:ascii="Times New Roman" w:hAnsi="Times New Roman" w:cs="Times New Roman"/>
          </w:rPr>
          <w:t>http://www.ema.europa.eu</w:t>
        </w:r>
      </w:hyperlink>
      <w:r w:rsidR="001641C8" w:rsidRPr="004449E1">
        <w:rPr>
          <w:rFonts w:ascii="Times New Roman" w:hAnsi="Times New Roman" w:cs="Times New Roman"/>
        </w:rPr>
        <w:t>.</w:t>
      </w:r>
      <w:r w:rsidR="00615C13" w:rsidRPr="004449E1">
        <w:rPr>
          <w:rFonts w:ascii="Times New Roman" w:hAnsi="Times New Roman" w:cs="Times New Roman"/>
        </w:rPr>
        <w:t xml:space="preserve"> </w:t>
      </w:r>
      <w:r w:rsidR="00615C13" w:rsidRPr="004449E1">
        <w:rPr>
          <w:rFonts w:ascii="Times New Roman" w:hAnsi="Times New Roman" w:cs="Times New Roman"/>
          <w:b/>
          <w:bCs/>
        </w:rPr>
        <w:t>Informacji udziela:</w:t>
      </w:r>
      <w:r w:rsidR="00615C13" w:rsidRPr="004449E1">
        <w:rPr>
          <w:rFonts w:ascii="Times New Roman" w:hAnsi="Times New Roman" w:cs="Times New Roman"/>
        </w:rPr>
        <w:t xml:space="preserve"> Takeda Pharma sp. z o.o., ul. Prosta 68, 00-838 Warszawa, tel.: +48 22 608 13 00.</w:t>
      </w:r>
    </w:p>
    <w:p w14:paraId="5BB1B067" w14:textId="38F4CCBE" w:rsidR="00615C13" w:rsidRPr="004449E1" w:rsidRDefault="004449E1" w:rsidP="00EB043A">
      <w:pPr>
        <w:jc w:val="both"/>
        <w:rPr>
          <w:rFonts w:ascii="Times New Roman" w:hAnsi="Times New Roman" w:cs="Times New Roman"/>
        </w:rPr>
      </w:pPr>
      <w:r w:rsidRPr="004449E1">
        <w:rPr>
          <w:rFonts w:ascii="Times New Roman" w:hAnsi="Times New Roman" w:cs="Times New Roman"/>
        </w:rPr>
        <w:t>*dotyczy Entyvio S.C.</w:t>
      </w:r>
    </w:p>
    <w:p w14:paraId="24C8E919" w14:textId="6C35A111" w:rsidR="00615C13" w:rsidRPr="00EB043A" w:rsidRDefault="00615C13" w:rsidP="00EB043A">
      <w:pPr>
        <w:jc w:val="both"/>
        <w:rPr>
          <w:rFonts w:ascii="Times New Roman" w:hAnsi="Times New Roman" w:cs="Times New Roman"/>
        </w:rPr>
      </w:pPr>
      <w:r w:rsidRPr="004449E1">
        <w:rPr>
          <w:rFonts w:ascii="Times New Roman" w:hAnsi="Times New Roman" w:cs="Times New Roman"/>
        </w:rPr>
        <w:t>Przygotowano na podstawie Charakterystyki Produktu Leczniczego Entyvio z dn. 22.03.2021.</w:t>
      </w:r>
    </w:p>
    <w:sectPr w:rsidR="00615C13" w:rsidRPr="00EB043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526E1" w14:textId="77777777" w:rsidR="000E2D62" w:rsidRDefault="000E2D62" w:rsidP="00BE1B45">
      <w:pPr>
        <w:spacing w:after="0" w:line="240" w:lineRule="auto"/>
      </w:pPr>
      <w:r>
        <w:separator/>
      </w:r>
    </w:p>
  </w:endnote>
  <w:endnote w:type="continuationSeparator" w:id="0">
    <w:p w14:paraId="6B77ED1D" w14:textId="77777777" w:rsidR="000E2D62" w:rsidRDefault="000E2D62" w:rsidP="00BE1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518F9" w14:textId="3B0952C6" w:rsidR="00BE1B45" w:rsidRPr="00EB043A" w:rsidRDefault="00BE1B45" w:rsidP="00BE1B45">
    <w:pPr>
      <w:pStyle w:val="Footer"/>
      <w:jc w:val="right"/>
      <w:rPr>
        <w:rFonts w:ascii="Times New Roman" w:hAnsi="Times New Roman" w:cs="Times New Roman"/>
      </w:rPr>
    </w:pPr>
    <w:r w:rsidRPr="00EB043A">
      <w:rPr>
        <w:rFonts w:ascii="Times New Roman" w:hAnsi="Times New Roman" w:cs="Times New Roman"/>
      </w:rPr>
      <w:t>Na podstawie SmPC z dn. 22.03.2021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07E4F" w14:textId="77777777" w:rsidR="000E2D62" w:rsidRDefault="000E2D62" w:rsidP="00BE1B45">
      <w:pPr>
        <w:spacing w:after="0" w:line="240" w:lineRule="auto"/>
      </w:pPr>
      <w:r>
        <w:separator/>
      </w:r>
    </w:p>
  </w:footnote>
  <w:footnote w:type="continuationSeparator" w:id="0">
    <w:p w14:paraId="457E02A5" w14:textId="77777777" w:rsidR="000E2D62" w:rsidRDefault="000E2D62" w:rsidP="00BE1B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2C"/>
    <w:rsid w:val="000E2D62"/>
    <w:rsid w:val="001260E4"/>
    <w:rsid w:val="00142F3B"/>
    <w:rsid w:val="001641C8"/>
    <w:rsid w:val="00165FA4"/>
    <w:rsid w:val="00185AF7"/>
    <w:rsid w:val="001C2BB5"/>
    <w:rsid w:val="00234CAD"/>
    <w:rsid w:val="00256B4D"/>
    <w:rsid w:val="00313909"/>
    <w:rsid w:val="003B5CD9"/>
    <w:rsid w:val="00413814"/>
    <w:rsid w:val="004449E1"/>
    <w:rsid w:val="005B2FD2"/>
    <w:rsid w:val="005B7BC8"/>
    <w:rsid w:val="005D142C"/>
    <w:rsid w:val="005E3243"/>
    <w:rsid w:val="0061273E"/>
    <w:rsid w:val="00615C13"/>
    <w:rsid w:val="00685D80"/>
    <w:rsid w:val="00700AD6"/>
    <w:rsid w:val="00777308"/>
    <w:rsid w:val="007B2742"/>
    <w:rsid w:val="00811443"/>
    <w:rsid w:val="008C09CF"/>
    <w:rsid w:val="00923E45"/>
    <w:rsid w:val="009E1BE1"/>
    <w:rsid w:val="00A02503"/>
    <w:rsid w:val="00A357C3"/>
    <w:rsid w:val="00A40AFC"/>
    <w:rsid w:val="00A64601"/>
    <w:rsid w:val="00AB74F7"/>
    <w:rsid w:val="00AF181F"/>
    <w:rsid w:val="00B1601E"/>
    <w:rsid w:val="00B2356A"/>
    <w:rsid w:val="00B60143"/>
    <w:rsid w:val="00BA6A97"/>
    <w:rsid w:val="00BE1B45"/>
    <w:rsid w:val="00BF1062"/>
    <w:rsid w:val="00CA1EDB"/>
    <w:rsid w:val="00CA7EEC"/>
    <w:rsid w:val="00CB1370"/>
    <w:rsid w:val="00D1089A"/>
    <w:rsid w:val="00D4676A"/>
    <w:rsid w:val="00DD21B9"/>
    <w:rsid w:val="00E0642A"/>
    <w:rsid w:val="00E20A31"/>
    <w:rsid w:val="00E62181"/>
    <w:rsid w:val="00EB043A"/>
    <w:rsid w:val="00EC694B"/>
    <w:rsid w:val="00F45400"/>
    <w:rsid w:val="00FE754B"/>
    <w:rsid w:val="00FF2C18"/>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CD26F"/>
  <w15:chartTrackingRefBased/>
  <w15:docId w15:val="{8477E7D4-FF72-448A-AC7A-B564A0B5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676A"/>
    <w:rPr>
      <w:color w:val="0563C1" w:themeColor="hyperlink"/>
      <w:u w:val="single"/>
    </w:rPr>
  </w:style>
  <w:style w:type="character" w:styleId="UnresolvedMention">
    <w:name w:val="Unresolved Mention"/>
    <w:basedOn w:val="DefaultParagraphFont"/>
    <w:uiPriority w:val="99"/>
    <w:semiHidden/>
    <w:unhideWhenUsed/>
    <w:rsid w:val="00D4676A"/>
    <w:rPr>
      <w:color w:val="605E5C"/>
      <w:shd w:val="clear" w:color="auto" w:fill="E1DFDD"/>
    </w:rPr>
  </w:style>
  <w:style w:type="paragraph" w:styleId="Header">
    <w:name w:val="header"/>
    <w:basedOn w:val="Normal"/>
    <w:link w:val="HeaderChar"/>
    <w:uiPriority w:val="99"/>
    <w:unhideWhenUsed/>
    <w:rsid w:val="00BE1B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1B45"/>
  </w:style>
  <w:style w:type="paragraph" w:styleId="Footer">
    <w:name w:val="footer"/>
    <w:basedOn w:val="Normal"/>
    <w:link w:val="FooterChar"/>
    <w:uiPriority w:val="99"/>
    <w:unhideWhenUsed/>
    <w:rsid w:val="00BE1B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1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31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a.europa.e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4102</Words>
  <Characters>23387</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Powała, Jakub</dc:creator>
  <cp:keywords/>
  <dc:description/>
  <cp:lastModifiedBy>Gutowska-Sulik, Małgorzata</cp:lastModifiedBy>
  <cp:revision>2</cp:revision>
  <dcterms:created xsi:type="dcterms:W3CDTF">2021-10-12T19:42:00Z</dcterms:created>
  <dcterms:modified xsi:type="dcterms:W3CDTF">2021-10-12T19:42:00Z</dcterms:modified>
</cp:coreProperties>
</file>