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C29" w:rsidRDefault="000E7255">
      <w:pPr>
        <w:jc w:val="center"/>
        <w:rPr>
          <w:szCs w:val="20"/>
        </w:rPr>
      </w:pPr>
      <w:r>
        <w:rPr>
          <w:b/>
          <w:szCs w:val="20"/>
        </w:rPr>
        <w:t>U</w:t>
      </w:r>
      <w:r>
        <w:rPr>
          <w:b/>
          <w:szCs w:val="20"/>
        </w:rPr>
        <w:t>z</w:t>
      </w:r>
      <w:r>
        <w:rPr>
          <w:b/>
          <w:szCs w:val="20"/>
        </w:rPr>
        <w:t>a</w:t>
      </w:r>
      <w:r>
        <w:rPr>
          <w:b/>
          <w:szCs w:val="20"/>
        </w:rPr>
        <w:t>sadnienie</w:t>
      </w:r>
      <w:bookmarkStart w:id="0" w:name="_GoBack"/>
      <w:bookmarkEnd w:id="0"/>
    </w:p>
    <w:p w:rsidR="00217C29" w:rsidRDefault="000E7255">
      <w:pPr>
        <w:spacing w:before="120" w:after="120"/>
        <w:ind w:firstLine="227"/>
        <w:jc w:val="left"/>
        <w:rPr>
          <w:szCs w:val="20"/>
        </w:rPr>
      </w:pPr>
      <w:r>
        <w:rPr>
          <w:szCs w:val="20"/>
        </w:rPr>
        <w:t>Zarządzenie stanowi wykonanie upoważnienia ustawowego zawartego w art. 146 ust. 1 ustawy z dnia 27 sierpnia</w:t>
      </w:r>
      <w:r>
        <w:rPr>
          <w:szCs w:val="20"/>
        </w:rPr>
        <w:t xml:space="preserve"> 2004 r. o świadczeniach opieki zdrowotnej finansowanych ze środków publicznych (Dz.U. z 2022 r. poz. 2561), zwanej dalej "ustawą o świadczeniach".</w:t>
      </w:r>
    </w:p>
    <w:p w:rsidR="00217C29" w:rsidRDefault="000E7255">
      <w:pPr>
        <w:spacing w:before="120" w:after="120"/>
        <w:ind w:firstLine="227"/>
        <w:jc w:val="left"/>
        <w:rPr>
          <w:szCs w:val="20"/>
        </w:rPr>
      </w:pPr>
      <w:r>
        <w:rPr>
          <w:szCs w:val="20"/>
        </w:rPr>
        <w:t>Niniejsze zarządzenie zmieniające zarządzenie Nr 3/2022/DSOZ Prezesa Narodowego Funduszu Zdrowia z dnia 3 st</w:t>
      </w:r>
      <w:r>
        <w:rPr>
          <w:szCs w:val="20"/>
        </w:rPr>
        <w:t>ycznia 2022 r. w sprawie warunków umów o udzielanie onkologicznych świadczeń kompleksowych (z późn. zm.), wprowadza następujące zmiany w stosunku do obowiązującego stanu prawnego:</w:t>
      </w:r>
    </w:p>
    <w:p w:rsidR="00217C29" w:rsidRDefault="000E7255">
      <w:pPr>
        <w:spacing w:before="120" w:after="120"/>
        <w:ind w:firstLine="227"/>
        <w:rPr>
          <w:szCs w:val="20"/>
        </w:rPr>
      </w:pPr>
      <w:r>
        <w:rPr>
          <w:szCs w:val="20"/>
        </w:rPr>
        <w:t>1. w § 15:</w:t>
      </w:r>
    </w:p>
    <w:p w:rsidR="00217C29" w:rsidRDefault="000E7255">
      <w:pPr>
        <w:spacing w:before="120" w:after="120"/>
        <w:ind w:firstLine="227"/>
        <w:rPr>
          <w:szCs w:val="20"/>
        </w:rPr>
      </w:pPr>
      <w:r>
        <w:rPr>
          <w:szCs w:val="20"/>
        </w:rPr>
        <w:t>a) w ust. 1 i 3 doprecyzowano brzmienie przepisów wskazując na mo</w:t>
      </w:r>
      <w:r>
        <w:rPr>
          <w:szCs w:val="20"/>
        </w:rPr>
        <w:t>żliwość zastosowania współczynnika korygującego – odpowiednio w ust. 1 dla produktów rozliczeniowych J01G, J01H i J02 w rozpoznaniu C50, natomiast w ust. 3 dla produktu rozliczeniowego F31 w rozpoznaniach C18 – C20,</w:t>
      </w:r>
    </w:p>
    <w:p w:rsidR="00217C29" w:rsidRDefault="000E7255">
      <w:pPr>
        <w:spacing w:before="120" w:after="120"/>
        <w:ind w:firstLine="227"/>
        <w:rPr>
          <w:szCs w:val="20"/>
        </w:rPr>
      </w:pPr>
      <w:r>
        <w:rPr>
          <w:szCs w:val="20"/>
        </w:rPr>
        <w:t>b) uchylono ust. 4, który dotyczył zasad</w:t>
      </w:r>
      <w:r>
        <w:rPr>
          <w:szCs w:val="20"/>
        </w:rPr>
        <w:t xml:space="preserve"> stosowania współczynnika korygującego w roku 2022;</w:t>
      </w:r>
    </w:p>
    <w:p w:rsidR="00217C29" w:rsidRDefault="000E7255">
      <w:pPr>
        <w:spacing w:before="120" w:after="120"/>
        <w:ind w:firstLine="227"/>
        <w:rPr>
          <w:szCs w:val="20"/>
        </w:rPr>
      </w:pPr>
      <w:r>
        <w:rPr>
          <w:szCs w:val="20"/>
        </w:rPr>
        <w:t>2. w § 16 uaktualniono brzmienie przepisu w zakresie zasad rozliczania świadczeń finansowanych w ramach grup JGP J03O, F32O, F42O:</w:t>
      </w:r>
    </w:p>
    <w:p w:rsidR="00217C29" w:rsidRDefault="000E7255">
      <w:pPr>
        <w:spacing w:before="120" w:after="120"/>
        <w:ind w:firstLine="227"/>
        <w:rPr>
          <w:szCs w:val="20"/>
        </w:rPr>
      </w:pPr>
      <w:r>
        <w:rPr>
          <w:szCs w:val="20"/>
        </w:rPr>
        <w:t>a) zmieniono okres oceny warunku minimalnej liczby zrealizowanych świadcz</w:t>
      </w:r>
      <w:r>
        <w:rPr>
          <w:szCs w:val="20"/>
        </w:rPr>
        <w:t>eń zabiegowych, określonego w załączniku nr 19 do zarządzenia w rodzaju leczenie szpitalne – z roku 2019 lub 2021 na rok kalendarzowy poprzedzający rok, w którym stosuje się rozliczenie świadczeń zabiegowych w ramach grup JGP J03O, F32O, F42O,</w:t>
      </w:r>
    </w:p>
    <w:p w:rsidR="00217C29" w:rsidRDefault="000E7255">
      <w:pPr>
        <w:spacing w:before="120" w:after="120"/>
        <w:ind w:firstLine="227"/>
        <w:rPr>
          <w:szCs w:val="20"/>
        </w:rPr>
      </w:pPr>
      <w:r>
        <w:rPr>
          <w:szCs w:val="20"/>
        </w:rPr>
        <w:t>b) na zasadz</w:t>
      </w:r>
      <w:r>
        <w:rPr>
          <w:szCs w:val="20"/>
        </w:rPr>
        <w:t>ie symetryzacji ze zmianami wprowadzonymi w załączniku 19 do zarządzenia Nr 1/2022/DSOZ Prezesa Narodowego Funduszu Zdrowia w sprawie określenia warunków zawierania i realizacji umów w rodzaju leczenie szpitalne oraz leczenie szpitalne – świadczenia wysoko</w:t>
      </w:r>
      <w:r>
        <w:rPr>
          <w:szCs w:val="20"/>
        </w:rPr>
        <w:t>specjalistyczne (z późn. zm.) – do grup JGP, których realizacja jest uwzględniana przy szacowaniu minimalnej liczby zrealizowanych świadczeń zabiegowych dodano grupy J03O, F32O, F42O;</w:t>
      </w:r>
    </w:p>
    <w:p w:rsidR="00217C29" w:rsidRDefault="000E7255">
      <w:pPr>
        <w:spacing w:before="120" w:after="120"/>
        <w:ind w:firstLine="227"/>
        <w:rPr>
          <w:szCs w:val="20"/>
        </w:rPr>
      </w:pPr>
      <w:r>
        <w:rPr>
          <w:szCs w:val="20"/>
        </w:rPr>
        <w:t>3. w załączniku 1on do zarządzenia skorygowano wycenę punktową następują</w:t>
      </w:r>
      <w:r>
        <w:rPr>
          <w:szCs w:val="20"/>
        </w:rPr>
        <w:t>cych produktów rozliczeniowych:</w:t>
      </w:r>
    </w:p>
    <w:p w:rsidR="00217C29" w:rsidRDefault="000E7255">
      <w:pPr>
        <w:spacing w:before="120" w:after="120"/>
        <w:ind w:firstLine="227"/>
        <w:rPr>
          <w:szCs w:val="20"/>
        </w:rPr>
      </w:pPr>
      <w:r>
        <w:rPr>
          <w:szCs w:val="20"/>
        </w:rPr>
        <w:t>- 5.06.00.0000902 kolonoskopia diagnostyczna,</w:t>
      </w:r>
    </w:p>
    <w:p w:rsidR="00217C29" w:rsidRDefault="000E7255">
      <w:pPr>
        <w:spacing w:before="120" w:after="120"/>
        <w:ind w:firstLine="227"/>
        <w:rPr>
          <w:szCs w:val="20"/>
        </w:rPr>
      </w:pPr>
      <w:r>
        <w:rPr>
          <w:szCs w:val="20"/>
        </w:rPr>
        <w:t>- 5.06.00.0000903 kolonoskopia diagnostyczna z biopsją (z badaniem hist.-pat.).</w:t>
      </w:r>
    </w:p>
    <w:p w:rsidR="00217C29" w:rsidRDefault="000E7255">
      <w:pPr>
        <w:spacing w:before="120" w:after="120"/>
        <w:ind w:firstLine="227"/>
        <w:jc w:val="left"/>
        <w:rPr>
          <w:szCs w:val="20"/>
        </w:rPr>
      </w:pPr>
      <w:r>
        <w:rPr>
          <w:szCs w:val="20"/>
        </w:rPr>
        <w:t>Przedmiotowa zmiana w zakresie merytorycznym wynika bezpośrednio (symetryzacja przepisów) z zarząd</w:t>
      </w:r>
      <w:r>
        <w:rPr>
          <w:szCs w:val="20"/>
        </w:rPr>
        <w:t>zenia Nr 61/2022/DSOZ Prezesa Narodowego Funduszu Zdrowia z dnia 6 maja 2022 r. w sprawie określenia warunków zawierania i realizacji umów o udzielanie świadczeń opieki zdrowotnej w rodzaju ambulatoryjna opieka specjalistyczna (z późn.zm.).</w:t>
      </w:r>
    </w:p>
    <w:p w:rsidR="00217C29" w:rsidRDefault="000E7255">
      <w:pPr>
        <w:spacing w:before="120" w:after="120"/>
        <w:ind w:firstLine="227"/>
        <w:jc w:val="left"/>
        <w:rPr>
          <w:szCs w:val="20"/>
        </w:rPr>
      </w:pPr>
      <w:r>
        <w:rPr>
          <w:szCs w:val="20"/>
        </w:rPr>
        <w:t>Pozostałe zmian</w:t>
      </w:r>
      <w:r>
        <w:rPr>
          <w:szCs w:val="20"/>
        </w:rPr>
        <w:t>y wprowadzone w zarządzeniu mają charakter porządkowy.</w:t>
      </w:r>
    </w:p>
    <w:p w:rsidR="00217C29" w:rsidRDefault="000E7255">
      <w:pPr>
        <w:spacing w:before="120" w:after="120"/>
        <w:ind w:firstLine="227"/>
        <w:jc w:val="left"/>
        <w:rPr>
          <w:szCs w:val="20"/>
        </w:rPr>
      </w:pPr>
      <w:r>
        <w:rPr>
          <w:szCs w:val="20"/>
        </w:rPr>
        <w:t>Powyższe działania zostały podjęte w ramach realizacji celu nr 2 Strategii Narodowego Funduszu Zdrowia na lata 2019-2023 – Poprawa jakości i dostępności świadczeń opieki zdrowotnej.</w:t>
      </w:r>
    </w:p>
    <w:p w:rsidR="00217C29" w:rsidRDefault="000E7255">
      <w:pPr>
        <w:spacing w:before="120" w:after="120"/>
        <w:ind w:firstLine="227"/>
        <w:jc w:val="left"/>
        <w:rPr>
          <w:szCs w:val="20"/>
        </w:rPr>
      </w:pPr>
      <w:r>
        <w:rPr>
          <w:szCs w:val="20"/>
        </w:rPr>
        <w:t>Przepisy zarządzeni</w:t>
      </w:r>
      <w:r>
        <w:rPr>
          <w:szCs w:val="20"/>
        </w:rPr>
        <w:t>a, stosuje się do rozliczania świadczeń opieki zdrowotnej udzielanych od dnia 1 stycznia 2023 r.</w:t>
      </w:r>
    </w:p>
    <w:p w:rsidR="00217C29" w:rsidRDefault="000E7255">
      <w:pPr>
        <w:spacing w:before="120" w:after="120"/>
        <w:ind w:firstLine="227"/>
        <w:jc w:val="left"/>
        <w:rPr>
          <w:szCs w:val="20"/>
        </w:rPr>
      </w:pPr>
      <w:r>
        <w:rPr>
          <w:szCs w:val="20"/>
        </w:rPr>
        <w:t>Zarządzenie wchodzi w życie z dniem następującym po dniu podpisania.</w:t>
      </w:r>
    </w:p>
    <w:sectPr w:rsidR="00217C29">
      <w:footerReference w:type="default" r:id="rId6"/>
      <w:endnotePr>
        <w:numFmt w:val="decimal"/>
      </w:endnotePr>
      <w:pgSz w:w="11906" w:h="16838"/>
      <w:pgMar w:top="1417" w:right="1020" w:bottom="992" w:left="10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E7255">
      <w:r>
        <w:separator/>
      </w:r>
    </w:p>
  </w:endnote>
  <w:endnote w:type="continuationSeparator" w:id="0">
    <w:p w:rsidR="00000000" w:rsidRDefault="000E7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217C29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:rsidR="00217C29" w:rsidRDefault="000E7255">
          <w:pPr>
            <w:jc w:val="left"/>
            <w:rPr>
              <w:sz w:val="18"/>
            </w:rPr>
          </w:pPr>
          <w:r>
            <w:rPr>
              <w:sz w:val="18"/>
            </w:rPr>
            <w:t>Id: 7FC17F54-BD98-4525-97F8-A0300CBE25AF. Projekt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:rsidR="00217C29" w:rsidRDefault="000E7255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 w:rsidR="00CA6E44"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:rsidR="00217C29" w:rsidRDefault="00217C29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C29" w:rsidRDefault="000E7255">
      <w:r>
        <w:separator/>
      </w:r>
    </w:p>
  </w:footnote>
  <w:footnote w:type="continuationSeparator" w:id="0">
    <w:p w:rsidR="00217C29" w:rsidRDefault="000E72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E7255"/>
    <w:rsid w:val="00217C29"/>
    <w:rsid w:val="006C4BD7"/>
    <w:rsid w:val="00A77B3E"/>
    <w:rsid w:val="00CA2A55"/>
    <w:rsid w:val="00CA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E44BC8"/>
  <w15:docId w15:val="{692037F3-ACBC-4075-B45F-A16F27479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rsid w:val="00805BCE"/>
    <w:rPr>
      <w:vertAlign w:val="superscript"/>
    </w:rPr>
  </w:style>
  <w:style w:type="paragraph" w:styleId="Tekstprzypisudolnego">
    <w:name w:val="footnote text"/>
    <w:basedOn w:val="Normalny"/>
    <w:rsid w:val="00805BCE"/>
    <w:rPr>
      <w:sz w:val="20"/>
      <w:szCs w:val="20"/>
    </w:rPr>
  </w:style>
  <w:style w:type="character" w:styleId="Hipercze">
    <w:name w:val="Hyperlink"/>
    <w:basedOn w:val="Domylnaczcionkaakapitu"/>
    <w:rsid w:val="00EF7B96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0E72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E7255"/>
    <w:rPr>
      <w:sz w:val="22"/>
      <w:szCs w:val="24"/>
    </w:rPr>
  </w:style>
  <w:style w:type="paragraph" w:styleId="Stopka">
    <w:name w:val="footer"/>
    <w:basedOn w:val="Normalny"/>
    <w:link w:val="StopkaZnak"/>
    <w:unhideWhenUsed/>
    <w:rsid w:val="000E72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E7255"/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381</Words>
  <Characters>2465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Zarządzenie z dnia 2 grudnia 2022 r.</vt:lpstr>
      <vt:lpstr/>
    </vt:vector>
  </TitlesOfParts>
  <Company>Prezes Narodowego Funduszu Zdrowia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z dnia 2 grudnia 2022 r.</dc:title>
  <dc:subject>zmieniające zarządzenie w^sprawie warunków umów o^udzielanie onkologicznych świadczeń kompleksowych</dc:subject>
  <dc:creator>Alicja.Uszynska</dc:creator>
  <cp:lastModifiedBy>Uszyńska-Osowska Alicja</cp:lastModifiedBy>
  <cp:revision>4</cp:revision>
  <dcterms:created xsi:type="dcterms:W3CDTF">2022-12-15T07:18:00Z</dcterms:created>
  <dcterms:modified xsi:type="dcterms:W3CDTF">2022-12-15T07:23:00Z</dcterms:modified>
  <cp:category>Akt prawny</cp:category>
</cp:coreProperties>
</file>